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B0" w:rsidRDefault="00137865">
      <w:pPr>
        <w:jc w:val="center"/>
        <w:rPr>
          <w:rFonts w:ascii="Arial Narrow" w:eastAsia="Arial Narrow" w:hAnsi="Arial Narrow" w:cs="Arial Narrow"/>
          <w:b/>
          <w:sz w:val="20"/>
          <w:szCs w:val="20"/>
        </w:rPr>
      </w:pPr>
      <w:r>
        <w:rPr>
          <w:rFonts w:ascii="Arial Narrow" w:eastAsia="Arial Narrow" w:hAnsi="Arial Narrow" w:cs="Arial Narrow"/>
          <w:b/>
          <w:sz w:val="20"/>
          <w:szCs w:val="20"/>
        </w:rPr>
        <w:t>Rēzeknes Tehnoloģiju Akadēmijas, Ventspils Augstskolas, Vidzemes Augstskolas kopīgā doktora studiju programma “Ekonomika un uzņēmējdarbība”</w:t>
      </w:r>
    </w:p>
    <w:p w:rsidR="00AD04B0" w:rsidRDefault="00137865">
      <w:pPr>
        <w:jc w:val="center"/>
        <w:rPr>
          <w:rFonts w:ascii="Arial Narrow" w:eastAsia="Arial Narrow" w:hAnsi="Arial Narrow" w:cs="Arial Narrow"/>
          <w:b/>
          <w:sz w:val="20"/>
          <w:szCs w:val="20"/>
        </w:rPr>
      </w:pPr>
      <w:r>
        <w:rPr>
          <w:rFonts w:ascii="Arial Narrow" w:eastAsia="Arial Narrow" w:hAnsi="Arial Narrow" w:cs="Arial Narrow"/>
          <w:b/>
          <w:sz w:val="20"/>
          <w:szCs w:val="20"/>
        </w:rPr>
        <w:t>STUDIJU KURSA APRAKSTS</w:t>
      </w:r>
    </w:p>
    <w:p w:rsidR="00AD04B0" w:rsidRDefault="00AD04B0">
      <w:pPr>
        <w:rPr>
          <w:rFonts w:ascii="Arial Narrow" w:eastAsia="Arial Narrow" w:hAnsi="Arial Narrow" w:cs="Arial Narrow"/>
          <w:b/>
          <w:sz w:val="20"/>
          <w:szCs w:val="20"/>
        </w:rPr>
      </w:pPr>
    </w:p>
    <w:p w:rsidR="00AD04B0" w:rsidRDefault="00AD04B0">
      <w:pPr>
        <w:rPr>
          <w:rFonts w:ascii="Arial Narrow" w:eastAsia="Arial Narrow" w:hAnsi="Arial Narrow" w:cs="Arial Narrow"/>
        </w:rPr>
      </w:pPr>
    </w:p>
    <w:tbl>
      <w:tblPr>
        <w:tblStyle w:val="a3"/>
        <w:tblW w:w="918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18"/>
        <w:gridCol w:w="425"/>
        <w:gridCol w:w="851"/>
        <w:gridCol w:w="850"/>
        <w:gridCol w:w="1375"/>
        <w:gridCol w:w="43"/>
        <w:gridCol w:w="1590"/>
        <w:gridCol w:w="1528"/>
      </w:tblGrid>
      <w:tr w:rsidR="00AD04B0">
        <w:tc>
          <w:tcPr>
            <w:tcW w:w="2518" w:type="dxa"/>
            <w:shd w:val="clear" w:color="auto" w:fill="auto"/>
            <w:vAlign w:val="center"/>
          </w:tcPr>
          <w:p w:rsidR="00AD04B0" w:rsidRDefault="00137865">
            <w:pPr>
              <w:pStyle w:val="Heading6"/>
              <w:spacing w:before="0" w:after="0" w:line="276" w:lineRule="auto"/>
              <w:rPr>
                <w:rFonts w:ascii="Arial Narrow" w:eastAsia="Arial Narrow" w:hAnsi="Arial Narrow" w:cs="Arial Narrow"/>
                <w:sz w:val="18"/>
                <w:szCs w:val="18"/>
              </w:rPr>
            </w:pPr>
            <w:bookmarkStart w:id="0" w:name="bookmark=id.30j0zll" w:colFirst="0" w:colLast="0"/>
            <w:bookmarkStart w:id="1" w:name="bookmark=id.gjdgxs" w:colFirst="0" w:colLast="0"/>
            <w:bookmarkEnd w:id="0"/>
            <w:bookmarkEnd w:id="1"/>
            <w:r>
              <w:rPr>
                <w:rFonts w:ascii="Arial Narrow" w:eastAsia="Arial Narrow" w:hAnsi="Arial Narrow" w:cs="Arial Narrow"/>
                <w:sz w:val="18"/>
                <w:szCs w:val="18"/>
              </w:rPr>
              <w:t>Studiju kursa nosaukums:</w:t>
            </w:r>
          </w:p>
        </w:tc>
        <w:tc>
          <w:tcPr>
            <w:tcW w:w="6662" w:type="dxa"/>
            <w:gridSpan w:val="7"/>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UZŅĒMĒJDARBĪB</w:t>
            </w:r>
            <w:r>
              <w:rPr>
                <w:rFonts w:ascii="Arial Narrow" w:eastAsia="Arial Narrow" w:hAnsi="Arial Narrow" w:cs="Arial Narrow"/>
                <w:b/>
                <w:sz w:val="20"/>
                <w:szCs w:val="20"/>
              </w:rPr>
              <w:t>AS</w:t>
            </w:r>
            <w:r>
              <w:rPr>
                <w:rFonts w:ascii="Arial Narrow" w:eastAsia="Arial Narrow" w:hAnsi="Arial Narrow" w:cs="Arial Narrow"/>
                <w:b/>
                <w:color w:val="000000"/>
                <w:sz w:val="20"/>
                <w:szCs w:val="20"/>
              </w:rPr>
              <w:t xml:space="preserve"> UN EKONOMIK</w:t>
            </w:r>
            <w:r>
              <w:rPr>
                <w:rFonts w:ascii="Arial Narrow" w:eastAsia="Arial Narrow" w:hAnsi="Arial Narrow" w:cs="Arial Narrow"/>
                <w:b/>
                <w:sz w:val="20"/>
                <w:szCs w:val="20"/>
              </w:rPr>
              <w:t>AS TENDENCES</w:t>
            </w:r>
          </w:p>
        </w:tc>
      </w:tr>
      <w:tr w:rsidR="00AD04B0">
        <w:tc>
          <w:tcPr>
            <w:tcW w:w="2518" w:type="dxa"/>
            <w:shd w:val="clear" w:color="auto" w:fill="auto"/>
            <w:vAlign w:val="center"/>
          </w:tcPr>
          <w:p w:rsidR="00AD04B0" w:rsidRDefault="00137865">
            <w:pPr>
              <w:pStyle w:val="Heading6"/>
              <w:spacing w:before="0" w:after="0" w:line="276" w:lineRule="auto"/>
              <w:rPr>
                <w:rFonts w:ascii="Arial Narrow" w:eastAsia="Arial Narrow" w:hAnsi="Arial Narrow" w:cs="Arial Narrow"/>
                <w:sz w:val="18"/>
                <w:szCs w:val="18"/>
              </w:rPr>
            </w:pPr>
            <w:r>
              <w:rPr>
                <w:rFonts w:ascii="Arial Narrow" w:eastAsia="Arial Narrow" w:hAnsi="Arial Narrow" w:cs="Arial Narrow"/>
                <w:sz w:val="18"/>
                <w:szCs w:val="18"/>
              </w:rPr>
              <w:t>Studiju kursa kods (VAIS):</w:t>
            </w:r>
          </w:p>
        </w:tc>
        <w:tc>
          <w:tcPr>
            <w:tcW w:w="6662" w:type="dxa"/>
            <w:gridSpan w:val="7"/>
            <w:shd w:val="clear" w:color="auto" w:fill="auto"/>
            <w:vAlign w:val="center"/>
          </w:tcPr>
          <w:p w:rsidR="00AD04B0" w:rsidRDefault="00AD04B0">
            <w:pPr>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AD04B0">
        <w:tc>
          <w:tcPr>
            <w:tcW w:w="2518" w:type="dxa"/>
            <w:shd w:val="clear" w:color="auto" w:fill="auto"/>
            <w:vAlign w:val="center"/>
          </w:tcPr>
          <w:p w:rsidR="00AD04B0" w:rsidRDefault="00137865">
            <w:pPr>
              <w:pStyle w:val="Heading6"/>
              <w:spacing w:before="0" w:after="0" w:line="276" w:lineRule="auto"/>
              <w:rPr>
                <w:rFonts w:ascii="Arial Narrow" w:eastAsia="Arial Narrow" w:hAnsi="Arial Narrow" w:cs="Arial Narrow"/>
                <w:sz w:val="18"/>
                <w:szCs w:val="18"/>
              </w:rPr>
            </w:pPr>
            <w:r>
              <w:rPr>
                <w:rFonts w:ascii="Arial Narrow" w:eastAsia="Arial Narrow" w:hAnsi="Arial Narrow" w:cs="Arial Narrow"/>
                <w:sz w:val="18"/>
                <w:szCs w:val="18"/>
              </w:rPr>
              <w:t>Studiju programma:</w:t>
            </w:r>
          </w:p>
        </w:tc>
        <w:tc>
          <w:tcPr>
            <w:tcW w:w="6662" w:type="dxa"/>
            <w:gridSpan w:val="7"/>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Kopīga doktorantūras programma “Ekonomika un uzņēmējdarbība”</w:t>
            </w:r>
          </w:p>
        </w:tc>
      </w:tr>
      <w:tr w:rsidR="00AD04B0">
        <w:tc>
          <w:tcPr>
            <w:tcW w:w="2518" w:type="dxa"/>
            <w:vMerge w:val="restart"/>
            <w:shd w:val="clear" w:color="auto" w:fill="auto"/>
            <w:vAlign w:val="center"/>
          </w:tcPr>
          <w:p w:rsidR="00AD04B0" w:rsidRDefault="00137865">
            <w:pPr>
              <w:pStyle w:val="Heading6"/>
              <w:spacing w:before="0" w:after="0" w:line="276" w:lineRule="auto"/>
              <w:ind w:left="0" w:firstLine="0"/>
              <w:rPr>
                <w:rFonts w:ascii="Arial Narrow" w:eastAsia="Arial Narrow" w:hAnsi="Arial Narrow" w:cs="Arial Narrow"/>
                <w:sz w:val="18"/>
                <w:szCs w:val="18"/>
              </w:rPr>
            </w:pPr>
            <w:r>
              <w:rPr>
                <w:rFonts w:ascii="Arial Narrow" w:eastAsia="Arial Narrow" w:hAnsi="Arial Narrow" w:cs="Arial Narrow"/>
                <w:sz w:val="18"/>
                <w:szCs w:val="18"/>
              </w:rPr>
              <w:t>Studiju programmas līmenis:</w:t>
            </w:r>
          </w:p>
          <w:p w:rsidR="00AD04B0" w:rsidRDefault="00AD04B0">
            <w:pPr>
              <w:rPr>
                <w:rFonts w:ascii="Arial Narrow" w:eastAsia="Arial Narrow" w:hAnsi="Arial Narrow" w:cs="Arial Narrow"/>
                <w:sz w:val="18"/>
                <w:szCs w:val="18"/>
              </w:rPr>
            </w:pPr>
          </w:p>
        </w:tc>
        <w:tc>
          <w:tcPr>
            <w:tcW w:w="425" w:type="dxa"/>
            <w:shd w:val="clear" w:color="auto" w:fill="auto"/>
            <w:vAlign w:val="center"/>
          </w:tcPr>
          <w:p w:rsidR="00AD04B0" w:rsidRDefault="00137865">
            <w:pPr>
              <w:pBdr>
                <w:top w:val="nil"/>
                <w:left w:val="nil"/>
                <w:bottom w:val="nil"/>
                <w:right w:val="nil"/>
                <w:between w:val="nil"/>
              </w:pBdr>
              <w:spacing w:line="276" w:lineRule="auto"/>
              <w:jc w:val="center"/>
              <w:rPr>
                <w:rFonts w:ascii="Arial Narrow" w:eastAsia="Arial Narrow" w:hAnsi="Arial Narrow" w:cs="Arial Narrow"/>
                <w:color w:val="000000"/>
                <w:sz w:val="18"/>
                <w:szCs w:val="18"/>
              </w:rPr>
            </w:pPr>
            <w:r>
              <w:rPr>
                <w:rFonts w:ascii="Arimo" w:eastAsia="Arimo" w:hAnsi="Arimo" w:cs="Arimo"/>
                <w:color w:val="000000"/>
                <w:sz w:val="18"/>
                <w:szCs w:val="18"/>
              </w:rPr>
              <w:t>☐</w:t>
            </w:r>
          </w:p>
        </w:tc>
        <w:tc>
          <w:tcPr>
            <w:tcW w:w="6237" w:type="dxa"/>
            <w:gridSpan w:val="6"/>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1.līmeņa profesionālā augstākā izglītība</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425" w:type="dxa"/>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mo" w:eastAsia="Arimo" w:hAnsi="Arimo" w:cs="Arimo"/>
                <w:color w:val="000000"/>
                <w:sz w:val="18"/>
                <w:szCs w:val="18"/>
              </w:rPr>
              <w:t>☐</w:t>
            </w:r>
          </w:p>
        </w:tc>
        <w:tc>
          <w:tcPr>
            <w:tcW w:w="6237" w:type="dxa"/>
            <w:gridSpan w:val="6"/>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Profesionālais bakalaurs</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425" w:type="dxa"/>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mo" w:eastAsia="Arimo" w:hAnsi="Arimo" w:cs="Arimo"/>
                <w:color w:val="000000"/>
                <w:sz w:val="18"/>
                <w:szCs w:val="18"/>
              </w:rPr>
              <w:t>☐</w:t>
            </w:r>
          </w:p>
        </w:tc>
        <w:tc>
          <w:tcPr>
            <w:tcW w:w="6237" w:type="dxa"/>
            <w:gridSpan w:val="6"/>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Profesionālā maģistrs</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425" w:type="dxa"/>
            <w:shd w:val="clear" w:color="auto" w:fill="auto"/>
            <w:vAlign w:val="center"/>
          </w:tcPr>
          <w:p w:rsidR="00AD04B0" w:rsidRDefault="00137865">
            <w:pPr>
              <w:pBdr>
                <w:top w:val="nil"/>
                <w:left w:val="nil"/>
                <w:bottom w:val="nil"/>
                <w:right w:val="nil"/>
                <w:between w:val="nil"/>
              </w:pBdr>
              <w:spacing w:line="276" w:lineRule="auto"/>
              <w:jc w:val="center"/>
              <w:rPr>
                <w:rFonts w:ascii="Arial Narrow" w:eastAsia="Arial Narrow" w:hAnsi="Arial Narrow" w:cs="Arial Narrow"/>
                <w:color w:val="000000"/>
                <w:sz w:val="18"/>
                <w:szCs w:val="18"/>
              </w:rPr>
            </w:pPr>
            <w:r>
              <w:rPr>
                <w:rFonts w:ascii="Quattrocento Sans" w:eastAsia="Quattrocento Sans" w:hAnsi="Quattrocento Sans" w:cs="Quattrocento Sans"/>
                <w:color w:val="000000"/>
                <w:sz w:val="18"/>
                <w:szCs w:val="18"/>
              </w:rPr>
              <w:t>x</w:t>
            </w:r>
          </w:p>
        </w:tc>
        <w:tc>
          <w:tcPr>
            <w:tcW w:w="6237" w:type="dxa"/>
            <w:gridSpan w:val="6"/>
            <w:shd w:val="clear" w:color="auto" w:fill="auto"/>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Doktorantūra</w:t>
            </w:r>
          </w:p>
        </w:tc>
      </w:tr>
      <w:tr w:rsidR="00AD04B0">
        <w:tc>
          <w:tcPr>
            <w:tcW w:w="2518" w:type="dxa"/>
            <w:vMerge w:val="restart"/>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Studiju kursa veids: </w:t>
            </w:r>
          </w:p>
        </w:tc>
        <w:tc>
          <w:tcPr>
            <w:tcW w:w="425" w:type="dxa"/>
            <w:shd w:val="clear" w:color="auto" w:fill="auto"/>
            <w:vAlign w:val="center"/>
          </w:tcPr>
          <w:p w:rsidR="00AD04B0" w:rsidRDefault="00137865">
            <w:pPr>
              <w:spacing w:line="276" w:lineRule="auto"/>
              <w:rPr>
                <w:rFonts w:ascii="Arial Narrow" w:eastAsia="Arial Narrow" w:hAnsi="Arial Narrow" w:cs="Arial Narrow"/>
                <w:sz w:val="18"/>
                <w:szCs w:val="18"/>
              </w:rPr>
            </w:pPr>
            <w:bookmarkStart w:id="2" w:name="_heading=h.1fob9te" w:colFirst="0" w:colLast="0"/>
            <w:bookmarkEnd w:id="2"/>
            <w:r>
              <w:rPr>
                <w:rFonts w:ascii="Quattrocento Sans" w:eastAsia="Quattrocento Sans" w:hAnsi="Quattrocento Sans" w:cs="Quattrocento Sans"/>
                <w:b/>
                <w:sz w:val="18"/>
                <w:szCs w:val="18"/>
              </w:rPr>
              <w:t>X</w:t>
            </w:r>
          </w:p>
        </w:tc>
        <w:tc>
          <w:tcPr>
            <w:tcW w:w="6237" w:type="dxa"/>
            <w:gridSpan w:val="6"/>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Obligāts studiju kurss (A daļa)</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425" w:type="dxa"/>
            <w:shd w:val="clear" w:color="auto" w:fill="auto"/>
            <w:vAlign w:val="center"/>
          </w:tcPr>
          <w:p w:rsidR="00AD04B0" w:rsidRDefault="00137865">
            <w:pPr>
              <w:spacing w:line="276" w:lineRule="auto"/>
              <w:jc w:val="center"/>
              <w:rPr>
                <w:rFonts w:ascii="Arial Narrow" w:eastAsia="Arial Narrow" w:hAnsi="Arial Narrow" w:cs="Arial Narrow"/>
                <w:sz w:val="18"/>
                <w:szCs w:val="18"/>
              </w:rPr>
            </w:pPr>
            <w:r>
              <w:rPr>
                <w:rFonts w:ascii="Arimo" w:eastAsia="Arimo" w:hAnsi="Arimo" w:cs="Arimo"/>
                <w:color w:val="000000"/>
                <w:sz w:val="18"/>
                <w:szCs w:val="18"/>
              </w:rPr>
              <w:t>☐</w:t>
            </w:r>
          </w:p>
        </w:tc>
        <w:tc>
          <w:tcPr>
            <w:tcW w:w="6237" w:type="dxa"/>
            <w:gridSpan w:val="6"/>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Nozares profesionālās specializācijas kurss (B daļa, obligāts)</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425" w:type="dxa"/>
            <w:shd w:val="clear" w:color="auto" w:fill="auto"/>
            <w:vAlign w:val="center"/>
          </w:tcPr>
          <w:p w:rsidR="00AD04B0" w:rsidRDefault="00137865">
            <w:pPr>
              <w:spacing w:line="276" w:lineRule="auto"/>
              <w:jc w:val="center"/>
              <w:rPr>
                <w:rFonts w:ascii="Arial Narrow" w:eastAsia="Arial Narrow" w:hAnsi="Arial Narrow" w:cs="Arial Narrow"/>
                <w:sz w:val="18"/>
                <w:szCs w:val="18"/>
              </w:rPr>
            </w:pPr>
            <w:r>
              <w:rPr>
                <w:rFonts w:ascii="Arimo" w:eastAsia="Arimo" w:hAnsi="Arimo" w:cs="Arimo"/>
                <w:b/>
                <w:sz w:val="18"/>
                <w:szCs w:val="18"/>
              </w:rPr>
              <w:t>☐</w:t>
            </w:r>
          </w:p>
        </w:tc>
        <w:tc>
          <w:tcPr>
            <w:tcW w:w="6237" w:type="dxa"/>
            <w:gridSpan w:val="6"/>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Nozares profesionālie izvēles kursi (B daļa, izvēle)</w:t>
            </w:r>
          </w:p>
        </w:tc>
      </w:tr>
      <w:tr w:rsidR="00AD04B0">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425" w:type="dxa"/>
            <w:shd w:val="clear" w:color="auto" w:fill="auto"/>
            <w:vAlign w:val="center"/>
          </w:tcPr>
          <w:p w:rsidR="00AD04B0" w:rsidRDefault="00137865">
            <w:pPr>
              <w:spacing w:line="276" w:lineRule="auto"/>
              <w:jc w:val="center"/>
              <w:rPr>
                <w:rFonts w:ascii="Arial Narrow" w:eastAsia="Arial Narrow" w:hAnsi="Arial Narrow" w:cs="Arial Narrow"/>
                <w:b/>
                <w:sz w:val="18"/>
                <w:szCs w:val="18"/>
              </w:rPr>
            </w:pPr>
            <w:r>
              <w:rPr>
                <w:rFonts w:ascii="Arimo" w:eastAsia="Arimo" w:hAnsi="Arimo" w:cs="Arimo"/>
                <w:b/>
                <w:sz w:val="18"/>
                <w:szCs w:val="18"/>
              </w:rPr>
              <w:t>☐</w:t>
            </w:r>
          </w:p>
        </w:tc>
        <w:tc>
          <w:tcPr>
            <w:tcW w:w="6237" w:type="dxa"/>
            <w:gridSpan w:val="6"/>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sz w:val="18"/>
                <w:szCs w:val="18"/>
              </w:rPr>
              <w:t>Brīvās izvēles kursi (C daļa)</w:t>
            </w:r>
          </w:p>
        </w:tc>
      </w:tr>
      <w:tr w:rsidR="00AD04B0">
        <w:trPr>
          <w:trHeight w:val="280"/>
        </w:trPr>
        <w:tc>
          <w:tcPr>
            <w:tcW w:w="2518" w:type="dxa"/>
            <w:vMerge w:val="restart"/>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Studiju kursa apjoms:</w:t>
            </w:r>
          </w:p>
        </w:tc>
        <w:tc>
          <w:tcPr>
            <w:tcW w:w="1276" w:type="dxa"/>
            <w:gridSpan w:val="2"/>
            <w:shd w:val="clear" w:color="auto" w:fill="auto"/>
            <w:vAlign w:val="center"/>
          </w:tcPr>
          <w:p w:rsidR="00AD04B0" w:rsidRDefault="00137865">
            <w:pPr>
              <w:jc w:val="center"/>
              <w:rPr>
                <w:rFonts w:ascii="Arial Narrow" w:eastAsia="Arial Narrow" w:hAnsi="Arial Narrow" w:cs="Arial Narrow"/>
                <w:b/>
                <w:sz w:val="18"/>
                <w:szCs w:val="18"/>
              </w:rPr>
            </w:pPr>
            <w:r>
              <w:rPr>
                <w:rFonts w:ascii="Arial Narrow" w:eastAsia="Arial Narrow" w:hAnsi="Arial Narrow" w:cs="Arial Narrow"/>
                <w:b/>
                <w:sz w:val="18"/>
                <w:szCs w:val="18"/>
              </w:rPr>
              <w:t>Kredītpunkti</w:t>
            </w:r>
          </w:p>
        </w:tc>
        <w:tc>
          <w:tcPr>
            <w:tcW w:w="850" w:type="dxa"/>
            <w:shd w:val="clear" w:color="auto" w:fill="auto"/>
            <w:vAlign w:val="center"/>
          </w:tcPr>
          <w:p w:rsidR="00AD04B0" w:rsidRDefault="00137865">
            <w:pPr>
              <w:jc w:val="center"/>
              <w:rPr>
                <w:rFonts w:ascii="Arial Narrow" w:eastAsia="Arial Narrow" w:hAnsi="Arial Narrow" w:cs="Arial Narrow"/>
                <w:b/>
                <w:sz w:val="18"/>
                <w:szCs w:val="18"/>
              </w:rPr>
            </w:pPr>
            <w:r>
              <w:rPr>
                <w:rFonts w:ascii="Arial Narrow" w:eastAsia="Arial Narrow" w:hAnsi="Arial Narrow" w:cs="Arial Narrow"/>
                <w:b/>
                <w:sz w:val="18"/>
                <w:szCs w:val="18"/>
              </w:rPr>
              <w:t>ECTS</w:t>
            </w:r>
          </w:p>
        </w:tc>
        <w:tc>
          <w:tcPr>
            <w:tcW w:w="1375" w:type="dxa"/>
            <w:shd w:val="clear" w:color="auto" w:fill="auto"/>
            <w:vAlign w:val="center"/>
          </w:tcPr>
          <w:p w:rsidR="00AD04B0" w:rsidRDefault="00137865">
            <w:pPr>
              <w:jc w:val="center"/>
              <w:rPr>
                <w:rFonts w:ascii="Arial Narrow" w:eastAsia="Arial Narrow" w:hAnsi="Arial Narrow" w:cs="Arial Narrow"/>
                <w:b/>
                <w:sz w:val="18"/>
                <w:szCs w:val="18"/>
              </w:rPr>
            </w:pPr>
            <w:r>
              <w:rPr>
                <w:rFonts w:ascii="Arial Narrow" w:eastAsia="Arial Narrow" w:hAnsi="Arial Narrow" w:cs="Arial Narrow"/>
                <w:b/>
                <w:sz w:val="18"/>
                <w:szCs w:val="18"/>
              </w:rPr>
              <w:t>Akadēmiskās stundas</w:t>
            </w:r>
          </w:p>
        </w:tc>
        <w:tc>
          <w:tcPr>
            <w:tcW w:w="1633" w:type="dxa"/>
            <w:gridSpan w:val="2"/>
            <w:shd w:val="clear" w:color="auto" w:fill="auto"/>
            <w:vAlign w:val="center"/>
          </w:tcPr>
          <w:p w:rsidR="00AD04B0" w:rsidRDefault="00137865">
            <w:pPr>
              <w:jc w:val="center"/>
              <w:rPr>
                <w:rFonts w:ascii="Arial Narrow" w:eastAsia="Arial Narrow" w:hAnsi="Arial Narrow" w:cs="Arial Narrow"/>
                <w:b/>
                <w:sz w:val="18"/>
                <w:szCs w:val="18"/>
              </w:rPr>
            </w:pPr>
            <w:r>
              <w:rPr>
                <w:rFonts w:ascii="Arial Narrow" w:eastAsia="Arial Narrow" w:hAnsi="Arial Narrow" w:cs="Arial Narrow"/>
                <w:b/>
                <w:sz w:val="18"/>
                <w:szCs w:val="18"/>
              </w:rPr>
              <w:t>Kontaktstundas</w:t>
            </w:r>
          </w:p>
        </w:tc>
        <w:tc>
          <w:tcPr>
            <w:tcW w:w="1528" w:type="dxa"/>
            <w:shd w:val="clear" w:color="auto" w:fill="auto"/>
            <w:vAlign w:val="center"/>
          </w:tcPr>
          <w:p w:rsidR="00AD04B0" w:rsidRDefault="00137865">
            <w:pPr>
              <w:jc w:val="center"/>
              <w:rPr>
                <w:rFonts w:ascii="Arial Narrow" w:eastAsia="Arial Narrow" w:hAnsi="Arial Narrow" w:cs="Arial Narrow"/>
                <w:b/>
                <w:sz w:val="18"/>
                <w:szCs w:val="18"/>
              </w:rPr>
            </w:pPr>
            <w:r>
              <w:rPr>
                <w:rFonts w:ascii="Arial Narrow" w:eastAsia="Arial Narrow" w:hAnsi="Arial Narrow" w:cs="Arial Narrow"/>
                <w:b/>
                <w:sz w:val="18"/>
                <w:szCs w:val="18"/>
              </w:rPr>
              <w:t>Patstāvīgā darba stundas</w:t>
            </w:r>
          </w:p>
        </w:tc>
      </w:tr>
      <w:tr w:rsidR="00AD04B0">
        <w:trPr>
          <w:trHeight w:val="4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1276" w:type="dxa"/>
            <w:gridSpan w:val="2"/>
            <w:shd w:val="clear" w:color="auto" w:fill="auto"/>
            <w:vAlign w:val="center"/>
          </w:tcPr>
          <w:p w:rsidR="00AD04B0" w:rsidRDefault="00137865">
            <w:pPr>
              <w:jc w:val="center"/>
              <w:rPr>
                <w:rFonts w:ascii="Arial Narrow" w:eastAsia="Arial Narrow" w:hAnsi="Arial Narrow" w:cs="Arial Narrow"/>
                <w:sz w:val="18"/>
                <w:szCs w:val="18"/>
              </w:rPr>
            </w:pPr>
            <w:r>
              <w:rPr>
                <w:rFonts w:ascii="Arial Narrow" w:eastAsia="Arial Narrow" w:hAnsi="Arial Narrow" w:cs="Arial Narrow"/>
                <w:sz w:val="18"/>
                <w:szCs w:val="18"/>
              </w:rPr>
              <w:t>12</w:t>
            </w:r>
          </w:p>
        </w:tc>
        <w:tc>
          <w:tcPr>
            <w:tcW w:w="850" w:type="dxa"/>
            <w:shd w:val="clear" w:color="auto" w:fill="auto"/>
            <w:vAlign w:val="center"/>
          </w:tcPr>
          <w:p w:rsidR="00AD04B0" w:rsidRDefault="00137865">
            <w:pPr>
              <w:jc w:val="center"/>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375" w:type="dxa"/>
            <w:shd w:val="clear" w:color="auto" w:fill="auto"/>
            <w:vAlign w:val="center"/>
          </w:tcPr>
          <w:p w:rsidR="00AD04B0" w:rsidRDefault="00137865">
            <w:pPr>
              <w:jc w:val="center"/>
              <w:rPr>
                <w:rFonts w:ascii="Arial Narrow" w:eastAsia="Arial Narrow" w:hAnsi="Arial Narrow" w:cs="Arial Narrow"/>
                <w:sz w:val="18"/>
                <w:szCs w:val="18"/>
              </w:rPr>
            </w:pPr>
            <w:r>
              <w:rPr>
                <w:rFonts w:ascii="Arial Narrow" w:eastAsia="Arial Narrow" w:hAnsi="Arial Narrow" w:cs="Arial Narrow"/>
                <w:sz w:val="18"/>
                <w:szCs w:val="18"/>
              </w:rPr>
              <w:t>480</w:t>
            </w:r>
          </w:p>
        </w:tc>
        <w:tc>
          <w:tcPr>
            <w:tcW w:w="1633" w:type="dxa"/>
            <w:gridSpan w:val="2"/>
            <w:shd w:val="clear" w:color="auto" w:fill="auto"/>
            <w:vAlign w:val="center"/>
          </w:tcPr>
          <w:p w:rsidR="00AD04B0" w:rsidRDefault="00137865">
            <w:pPr>
              <w:jc w:val="center"/>
              <w:rPr>
                <w:rFonts w:ascii="Arial Narrow" w:eastAsia="Arial Narrow" w:hAnsi="Arial Narrow" w:cs="Arial Narrow"/>
                <w:sz w:val="18"/>
                <w:szCs w:val="18"/>
              </w:rPr>
            </w:pPr>
            <w:r>
              <w:rPr>
                <w:rFonts w:ascii="Arial Narrow" w:eastAsia="Arial Narrow" w:hAnsi="Arial Narrow" w:cs="Arial Narrow"/>
                <w:sz w:val="18"/>
                <w:szCs w:val="18"/>
              </w:rPr>
              <w:t>120</w:t>
            </w:r>
          </w:p>
        </w:tc>
        <w:tc>
          <w:tcPr>
            <w:tcW w:w="1528" w:type="dxa"/>
            <w:shd w:val="clear" w:color="auto" w:fill="auto"/>
            <w:vAlign w:val="center"/>
          </w:tcPr>
          <w:p w:rsidR="00AD04B0" w:rsidRDefault="00137865">
            <w:pPr>
              <w:jc w:val="center"/>
              <w:rPr>
                <w:rFonts w:ascii="Arial Narrow" w:eastAsia="Arial Narrow" w:hAnsi="Arial Narrow" w:cs="Arial Narrow"/>
                <w:sz w:val="18"/>
                <w:szCs w:val="18"/>
              </w:rPr>
            </w:pPr>
            <w:r>
              <w:rPr>
                <w:rFonts w:ascii="Arial Narrow" w:eastAsia="Arial Narrow" w:hAnsi="Arial Narrow" w:cs="Arial Narrow"/>
                <w:sz w:val="18"/>
                <w:szCs w:val="18"/>
              </w:rPr>
              <w:t>360</w:t>
            </w:r>
          </w:p>
        </w:tc>
      </w:tr>
      <w:tr w:rsidR="00AD04B0">
        <w:trPr>
          <w:trHeight w:val="40"/>
        </w:trPr>
        <w:tc>
          <w:tcPr>
            <w:tcW w:w="2518" w:type="dxa"/>
            <w:vMerge w:val="restart"/>
            <w:shd w:val="clear" w:color="auto" w:fill="auto"/>
            <w:vAlign w:val="center"/>
          </w:tcPr>
          <w:p w:rsidR="00AD04B0" w:rsidRDefault="00137865">
            <w:pPr>
              <w:pStyle w:val="Heading6"/>
              <w:spacing w:before="0" w:after="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Studiju kursa vadītājs: </w:t>
            </w:r>
          </w:p>
        </w:tc>
        <w:tc>
          <w:tcPr>
            <w:tcW w:w="6662" w:type="dxa"/>
            <w:gridSpan w:val="7"/>
            <w:shd w:val="clear" w:color="auto" w:fill="auto"/>
            <w:vAlign w:val="center"/>
          </w:tcPr>
          <w:p w:rsidR="00AD04B0" w:rsidRDefault="00AD04B0">
            <w:pPr>
              <w:spacing w:line="276" w:lineRule="auto"/>
              <w:rPr>
                <w:rFonts w:ascii="Arial Narrow" w:eastAsia="Arial Narrow" w:hAnsi="Arial Narrow" w:cs="Arial Narrow"/>
                <w:b/>
                <w:sz w:val="18"/>
                <w:szCs w:val="18"/>
              </w:rPr>
            </w:pPr>
          </w:p>
        </w:tc>
      </w:tr>
      <w:tr w:rsidR="00AD04B0">
        <w:trPr>
          <w:trHeight w:val="4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Vadošā pētniece, profesore  Dr. oec    Sarmīte Rozentāle                     </w:t>
            </w:r>
          </w:p>
        </w:tc>
      </w:tr>
      <w:tr w:rsidR="00AD04B0">
        <w:trPr>
          <w:trHeight w:val="4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6662" w:type="dxa"/>
            <w:gridSpan w:val="7"/>
            <w:shd w:val="clear" w:color="auto" w:fill="auto"/>
            <w:vAlign w:val="center"/>
          </w:tcPr>
          <w:p w:rsidR="00AD04B0" w:rsidRDefault="00AD04B0">
            <w:pPr>
              <w:spacing w:line="276" w:lineRule="auto"/>
              <w:rPr>
                <w:rFonts w:ascii="Arial Narrow" w:eastAsia="Arial Narrow" w:hAnsi="Arial Narrow" w:cs="Arial Narrow"/>
                <w:sz w:val="18"/>
                <w:szCs w:val="18"/>
              </w:rPr>
            </w:pPr>
          </w:p>
        </w:tc>
      </w:tr>
      <w:tr w:rsidR="00AD04B0">
        <w:trPr>
          <w:trHeight w:val="4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Konsultācijas: piesakoties elektroniski</w:t>
            </w:r>
          </w:p>
        </w:tc>
      </w:tr>
      <w:tr w:rsidR="00AD04B0">
        <w:trPr>
          <w:trHeight w:val="40"/>
        </w:trPr>
        <w:tc>
          <w:tcPr>
            <w:tcW w:w="2518" w:type="dxa"/>
            <w:shd w:val="clear" w:color="auto" w:fill="auto"/>
            <w:vAlign w:val="center"/>
          </w:tcPr>
          <w:p w:rsidR="00AD04B0" w:rsidRDefault="00137865">
            <w:pPr>
              <w:widowControl w:val="0"/>
              <w:pBdr>
                <w:top w:val="nil"/>
                <w:left w:val="nil"/>
                <w:bottom w:val="nil"/>
                <w:right w:val="nil"/>
                <w:between w:val="nil"/>
              </w:pBd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Studiju kursa docētāji:</w:t>
            </w:r>
          </w:p>
        </w:tc>
        <w:tc>
          <w:tcPr>
            <w:tcW w:w="6662" w:type="dxa"/>
            <w:gridSpan w:val="7"/>
            <w:shd w:val="clear" w:color="auto" w:fill="auto"/>
            <w:vAlign w:val="center"/>
          </w:tcPr>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Agita Līviņa, profesore, vadošā pētniece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Agita Šmitiņa, docente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Andris Klepers, asoc.profesors, pētnieks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Diana Ismailova Toleubayevna, ViA Vieslektore no Kazahstānas</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Kārlis Krēsliņš, profesors VeA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Kaspars Osis, asoc.profesors, pētnieks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Maira Leščevica, profesore, pētniece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Sarmīte Rozentāle, profesore, vadošā pētniece ViA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Sergejs Hiļķevičs, profesors VeA</w:t>
            </w:r>
          </w:p>
          <w:p w:rsidR="007C0743" w:rsidRPr="007C0743"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Una Libkovska, asoc.profesore VeA</w:t>
            </w:r>
          </w:p>
          <w:p w:rsidR="00AD04B0" w:rsidRDefault="007C0743" w:rsidP="007C0743">
            <w:pPr>
              <w:spacing w:line="276" w:lineRule="auto"/>
              <w:rPr>
                <w:rFonts w:ascii="Arial Narrow" w:eastAsia="Arial Narrow" w:hAnsi="Arial Narrow" w:cs="Arial Narrow"/>
                <w:sz w:val="18"/>
                <w:szCs w:val="18"/>
              </w:rPr>
            </w:pPr>
            <w:r w:rsidRPr="007C0743">
              <w:rPr>
                <w:rFonts w:ascii="Arial Narrow" w:eastAsia="Arial Narrow" w:hAnsi="Arial Narrow" w:cs="Arial Narrow"/>
                <w:sz w:val="18"/>
                <w:szCs w:val="18"/>
              </w:rPr>
              <w:t>Vineta Silkāne, asoc.profesore, pētniece ViA</w:t>
            </w: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b/>
                <w:sz w:val="18"/>
                <w:szCs w:val="18"/>
              </w:rPr>
              <w:t>Studiju kursa forma:</w:t>
            </w: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Pilna laika studijas</w:t>
            </w: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b/>
                <w:sz w:val="18"/>
                <w:szCs w:val="18"/>
              </w:rPr>
              <w:t>Studiju gads, semestris:</w:t>
            </w: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1.gads,  2. semestris</w:t>
            </w:r>
          </w:p>
        </w:tc>
      </w:tr>
      <w:tr w:rsidR="00AD04B0">
        <w:trPr>
          <w:trHeight w:val="400"/>
        </w:trPr>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highlight w:val="yellow"/>
              </w:rPr>
            </w:pPr>
            <w:r>
              <w:rPr>
                <w:rFonts w:ascii="Arial Narrow" w:eastAsia="Arial Narrow" w:hAnsi="Arial Narrow" w:cs="Arial Narrow"/>
                <w:b/>
                <w:sz w:val="18"/>
                <w:szCs w:val="18"/>
              </w:rPr>
              <w:t>Studiju valoda:</w:t>
            </w: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highlight w:val="yellow"/>
              </w:rPr>
            </w:pPr>
            <w:r>
              <w:rPr>
                <w:rFonts w:ascii="Arial Narrow" w:eastAsia="Arial Narrow" w:hAnsi="Arial Narrow" w:cs="Arial Narrow"/>
                <w:sz w:val="18"/>
                <w:szCs w:val="18"/>
              </w:rPr>
              <w:t>Latviešu, angļu</w:t>
            </w:r>
          </w:p>
        </w:tc>
      </w:tr>
      <w:tr w:rsidR="00AD04B0">
        <w:trPr>
          <w:trHeight w:val="260"/>
        </w:trPr>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Nepieciešamās priekšzināšanas:</w:t>
            </w: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Pamatzināšanas ekonomikā, stratēģiskā vadībā un finansēs, ko apliecina ieraksti iepriekš apgūtās izglītības dokumentos.</w:t>
            </w:r>
          </w:p>
          <w:p w:rsidR="00AD04B0" w:rsidRDefault="00AD04B0">
            <w:pPr>
              <w:spacing w:line="276" w:lineRule="auto"/>
              <w:rPr>
                <w:rFonts w:ascii="Arial Narrow" w:eastAsia="Arial Narrow" w:hAnsi="Arial Narrow" w:cs="Arial Narrow"/>
                <w:sz w:val="18"/>
                <w:szCs w:val="18"/>
              </w:rPr>
            </w:pPr>
          </w:p>
        </w:tc>
      </w:tr>
      <w:tr w:rsidR="00AD04B0">
        <w:trPr>
          <w:trHeight w:val="40"/>
        </w:trPr>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Studiju kursa anotācija</w:t>
            </w:r>
          </w:p>
        </w:tc>
        <w:tc>
          <w:tcPr>
            <w:tcW w:w="6662" w:type="dxa"/>
            <w:gridSpan w:val="7"/>
            <w:shd w:val="clear" w:color="auto" w:fill="auto"/>
            <w:vAlign w:val="center"/>
          </w:tcPr>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Šis studiju kurss sniegs zināšanu  kopumu par mūsdienu globālās pasaules ekonomikas izmaiņu faktoriem un iespējām izdarīt ilgtermiņa prognozes mainīgos nenoteiktības apstākļos un rast risinājuma modeļus kā šādos apstākļos vadīt uzņēmējdarbību.</w:t>
            </w:r>
          </w:p>
        </w:tc>
      </w:tr>
      <w:tr w:rsidR="00AD04B0">
        <w:trPr>
          <w:trHeight w:val="40"/>
        </w:trPr>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Gala pārbaudījuma forma:</w:t>
            </w:r>
          </w:p>
        </w:tc>
        <w:tc>
          <w:tcPr>
            <w:tcW w:w="6662" w:type="dxa"/>
            <w:gridSpan w:val="7"/>
            <w:shd w:val="clear" w:color="auto" w:fill="auto"/>
            <w:vAlign w:val="center"/>
          </w:tcPr>
          <w:p w:rsidR="00AD04B0" w:rsidRDefault="00137865">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Rakstveida eksāmens (60%)</w:t>
            </w:r>
          </w:p>
        </w:tc>
      </w:tr>
      <w:tr w:rsidR="00AD04B0">
        <w:trPr>
          <w:trHeight w:val="40"/>
        </w:trPr>
        <w:tc>
          <w:tcPr>
            <w:tcW w:w="2518" w:type="dxa"/>
            <w:shd w:val="clear" w:color="auto" w:fill="auto"/>
            <w:vAlign w:val="center"/>
          </w:tcPr>
          <w:p w:rsidR="00AD04B0" w:rsidRDefault="00137865">
            <w:pPr>
              <w:spacing w:before="240" w:after="240" w:line="276" w:lineRule="auto"/>
              <w:rPr>
                <w:rFonts w:ascii="Arial Narrow" w:eastAsia="Arial Narrow" w:hAnsi="Arial Narrow" w:cs="Arial Narrow"/>
                <w:b/>
                <w:sz w:val="18"/>
                <w:szCs w:val="18"/>
              </w:rPr>
            </w:pPr>
            <w:r>
              <w:rPr>
                <w:rFonts w:ascii="Arial Narrow" w:eastAsia="Arial Narrow" w:hAnsi="Arial Narrow" w:cs="Arial Narrow"/>
                <w:b/>
                <w:sz w:val="18"/>
                <w:szCs w:val="18"/>
              </w:rPr>
              <w:t>Prasības kredītpunktu ieguvei un kritēriji studiju rezultātu vērtēšanai:</w:t>
            </w:r>
          </w:p>
        </w:tc>
        <w:tc>
          <w:tcPr>
            <w:tcW w:w="6662" w:type="dxa"/>
            <w:gridSpan w:val="7"/>
            <w:shd w:val="clear" w:color="auto" w:fill="auto"/>
            <w:vAlign w:val="center"/>
          </w:tcPr>
          <w:p w:rsidR="00AD04B0" w:rsidRDefault="00137865">
            <w:pPr>
              <w:ind w:left="64" w:right="8"/>
              <w:rPr>
                <w:rFonts w:ascii="Arial Narrow" w:eastAsia="Arial Narrow" w:hAnsi="Arial Narrow" w:cs="Arial Narrow"/>
                <w:sz w:val="18"/>
                <w:szCs w:val="18"/>
              </w:rPr>
            </w:pPr>
            <w:r>
              <w:rPr>
                <w:rFonts w:ascii="Arial Narrow" w:eastAsia="Arial Narrow" w:hAnsi="Arial Narrow" w:cs="Arial Narrow"/>
                <w:sz w:val="18"/>
                <w:szCs w:val="18"/>
              </w:rPr>
              <w:t xml:space="preserve">Literatūras analīzes pārskata sagatavošana atbilstoši promocijas darba tēmai par aktualitātēm un tendencēm ekonomikā un vai uzņēmējdarbības vadībā (20%). </w:t>
            </w:r>
          </w:p>
          <w:p w:rsidR="00AD04B0" w:rsidRDefault="00137865">
            <w:pPr>
              <w:ind w:left="64" w:right="8"/>
              <w:rPr>
                <w:rFonts w:ascii="Arial Narrow" w:eastAsia="Arial Narrow" w:hAnsi="Arial Narrow" w:cs="Arial Narrow"/>
                <w:sz w:val="18"/>
                <w:szCs w:val="18"/>
              </w:rPr>
            </w:pPr>
            <w:r>
              <w:rPr>
                <w:rFonts w:ascii="Arial Narrow" w:eastAsia="Arial Narrow" w:hAnsi="Arial Narrow" w:cs="Arial Narrow"/>
                <w:sz w:val="18"/>
                <w:szCs w:val="18"/>
              </w:rPr>
              <w:t xml:space="preserve">Praktisko darbu izstrāde uzņēmējdarbības analīzē (10%). </w:t>
            </w:r>
          </w:p>
          <w:p w:rsidR="00AD04B0" w:rsidRDefault="00137865">
            <w:pPr>
              <w:ind w:left="64" w:right="8"/>
              <w:rPr>
                <w:rFonts w:ascii="Arial Narrow" w:eastAsia="Arial Narrow" w:hAnsi="Arial Narrow" w:cs="Arial Narrow"/>
                <w:sz w:val="18"/>
                <w:szCs w:val="18"/>
              </w:rPr>
            </w:pPr>
            <w:r>
              <w:rPr>
                <w:rFonts w:ascii="Arial Narrow" w:eastAsia="Arial Narrow" w:hAnsi="Arial Narrow" w:cs="Arial Narrow"/>
                <w:sz w:val="18"/>
                <w:szCs w:val="18"/>
              </w:rPr>
              <w:t>Starptautisko institūciju ziņojumu un politikas plānošanas dokumentu analīze, prognožu izdarīšanai (10%).</w:t>
            </w:r>
          </w:p>
          <w:p w:rsidR="00AD04B0" w:rsidRDefault="00137865">
            <w:pPr>
              <w:ind w:left="64" w:right="8"/>
              <w:rPr>
                <w:rFonts w:ascii="Arial Narrow" w:eastAsia="Arial Narrow" w:hAnsi="Arial Narrow" w:cs="Arial Narrow"/>
                <w:sz w:val="18"/>
                <w:szCs w:val="18"/>
              </w:rPr>
            </w:pPr>
            <w:r>
              <w:rPr>
                <w:rFonts w:ascii="Arial Narrow" w:eastAsia="Arial Narrow" w:hAnsi="Arial Narrow" w:cs="Arial Narrow"/>
                <w:sz w:val="18"/>
                <w:szCs w:val="18"/>
              </w:rPr>
              <w:t>Studiju rezultātu vērtēšana veidota tā, lai vērtējumi vienas tēmas un studiju formu ietvaros nepārklātos. Skatīt papildus pievienoto vērtējuma veidošanās matricu.</w:t>
            </w:r>
          </w:p>
        </w:tc>
      </w:tr>
      <w:tr w:rsidR="00AD04B0">
        <w:trPr>
          <w:trHeight w:val="40"/>
        </w:trPr>
        <w:tc>
          <w:tcPr>
            <w:tcW w:w="2518" w:type="dxa"/>
            <w:shd w:val="clear" w:color="auto" w:fill="auto"/>
            <w:vAlign w:val="center"/>
          </w:tcPr>
          <w:p w:rsidR="00AD04B0" w:rsidRDefault="00137865">
            <w:pPr>
              <w:spacing w:before="240" w:after="24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Akadēmiskās ētikas ievērošana</w:t>
            </w:r>
          </w:p>
        </w:tc>
        <w:tc>
          <w:tcPr>
            <w:tcW w:w="6662" w:type="dxa"/>
            <w:gridSpan w:val="7"/>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Studentiem jāievēro akadēmiskā un pētījumu ētika, Vidzemes Augstskolas ētikas nolikums, t.sk.:</w:t>
            </w:r>
          </w:p>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ab/>
              <w:t>studiju darbiem ir jābūt patstāvīgi izstrādātiem;</w:t>
            </w:r>
          </w:p>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ab/>
              <w:t>studiju darbos ir jābūt atsaucēm uz visiem izmantotajiem citu autoru izteikumiem, idejām un datiem;</w:t>
            </w:r>
          </w:p>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 </w:t>
            </w:r>
            <w:r>
              <w:rPr>
                <w:rFonts w:ascii="Arial Narrow" w:eastAsia="Arial Narrow" w:hAnsi="Arial Narrow" w:cs="Arial Narrow"/>
                <w:color w:val="000000"/>
                <w:sz w:val="20"/>
                <w:szCs w:val="20"/>
              </w:rPr>
              <w:tab/>
              <w:t>datu ieguvē jāizmanto atbilstošas datu ieguves metodes, jāievēro pētījumu ētika, empīriskie dati jāievāc patstāvīgi un tie nedrīkst būt sagrozīti vai viltoti;</w:t>
            </w:r>
          </w:p>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 </w:t>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pārbaudījums studentam jāveic patstāvīgi, bez palīgmateriālu izmantošanas un konsultācijām ar citiem studentiem, ja vien docētājs nav noteicis citādi.</w:t>
            </w:r>
          </w:p>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Akadēmiskās un pētījumu ētikas neievērošanas gadījumā tiek piemērots sods saskaņā ar ViA Ētikas nolikumu un studiju kurss jāapgūst atkārtoti, ja vien sods nav eksmatrikulācija.</w:t>
            </w:r>
          </w:p>
        </w:tc>
      </w:tr>
      <w:tr w:rsidR="00AD04B0">
        <w:trPr>
          <w:trHeight w:val="120"/>
        </w:trPr>
        <w:tc>
          <w:tcPr>
            <w:tcW w:w="2518" w:type="dxa"/>
            <w:vMerge w:val="restart"/>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lastRenderedPageBreak/>
              <w:t>Studiju kursa rezultāti; to vērtēšanas metodes un kritēriji</w:t>
            </w:r>
          </w:p>
          <w:p w:rsidR="00AD04B0" w:rsidRDefault="00AD04B0">
            <w:pPr>
              <w:spacing w:line="276" w:lineRule="auto"/>
              <w:rPr>
                <w:rFonts w:ascii="Arial Narrow" w:eastAsia="Arial Narrow" w:hAnsi="Arial Narrow" w:cs="Arial Narrow"/>
                <w:b/>
                <w:sz w:val="18"/>
                <w:szCs w:val="18"/>
              </w:rPr>
            </w:pPr>
          </w:p>
          <w:p w:rsidR="00AD04B0" w:rsidRDefault="00AD04B0">
            <w:pPr>
              <w:spacing w:line="276" w:lineRule="auto"/>
              <w:jc w:val="right"/>
              <w:rPr>
                <w:rFonts w:ascii="Arial Narrow" w:eastAsia="Arial Narrow" w:hAnsi="Arial Narrow" w:cs="Arial Narrow"/>
                <w:i/>
                <w:color w:val="FF0000"/>
                <w:sz w:val="18"/>
                <w:szCs w:val="18"/>
              </w:rPr>
            </w:pPr>
          </w:p>
        </w:tc>
        <w:tc>
          <w:tcPr>
            <w:tcW w:w="3544" w:type="dxa"/>
            <w:gridSpan w:val="5"/>
            <w:shd w:val="clear" w:color="auto" w:fill="auto"/>
            <w:vAlign w:val="center"/>
          </w:tcPr>
          <w:p w:rsidR="00AD04B0" w:rsidRDefault="00137865">
            <w:pPr>
              <w:pBdr>
                <w:top w:val="nil"/>
                <w:left w:val="nil"/>
                <w:bottom w:val="nil"/>
                <w:right w:val="nil"/>
                <w:between w:val="nil"/>
              </w:pBdr>
              <w:spacing w:line="276"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Studiju rezultāti</w:t>
            </w:r>
          </w:p>
        </w:tc>
        <w:tc>
          <w:tcPr>
            <w:tcW w:w="3118" w:type="dxa"/>
            <w:gridSpan w:val="2"/>
            <w:shd w:val="clear" w:color="auto" w:fill="auto"/>
            <w:vAlign w:val="center"/>
          </w:tcPr>
          <w:p w:rsidR="00AD04B0" w:rsidRDefault="00137865">
            <w:pPr>
              <w:pBdr>
                <w:top w:val="nil"/>
                <w:left w:val="nil"/>
                <w:bottom w:val="nil"/>
                <w:right w:val="nil"/>
                <w:between w:val="nil"/>
              </w:pBdr>
              <w:spacing w:line="276"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Studiju rezultātu vērtēšanas metodes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6662" w:type="dxa"/>
            <w:gridSpan w:val="7"/>
            <w:shd w:val="clear" w:color="auto" w:fill="F2F2F2"/>
            <w:vAlign w:val="center"/>
          </w:tcPr>
          <w:p w:rsidR="00AD04B0" w:rsidRDefault="00137865">
            <w:pPr>
              <w:pBdr>
                <w:top w:val="nil"/>
                <w:left w:val="nil"/>
                <w:bottom w:val="nil"/>
                <w:right w:val="nil"/>
                <w:between w:val="nil"/>
              </w:pBdr>
              <w:spacing w:line="276" w:lineRule="auto"/>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Zināšanas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3544" w:type="dxa"/>
            <w:gridSpan w:val="5"/>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 xml:space="preserve">Izpratne un priekšstats par (Teorētiskās zināšana) par dažādiem ekonomikas veidiem </w:t>
            </w:r>
          </w:p>
        </w:tc>
        <w:tc>
          <w:tcPr>
            <w:tcW w:w="3118" w:type="dxa"/>
            <w:gridSpan w:val="2"/>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Semināri</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44" w:type="dxa"/>
            <w:gridSpan w:val="5"/>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Zināšanas par ilgtspējas principiem un to lomu ilgtermiņa globālā un lokālā tautsaimniecības attīstībā.</w:t>
            </w:r>
          </w:p>
        </w:tc>
        <w:tc>
          <w:tcPr>
            <w:tcW w:w="3118" w:type="dxa"/>
            <w:gridSpan w:val="2"/>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Rakstveida ziņojums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highlight w:val="white"/>
              </w:rPr>
              <w:t>Izpratne par resursu plānošanas, vadības un resursu izmantošanas snieguma metodēm, izmantojot informācijas tehnoloģijas un datu apstrādes metodes</w:t>
            </w:r>
            <w:r>
              <w:rPr>
                <w:rFonts w:ascii="Arial Narrow" w:eastAsia="Arial Narrow" w:hAnsi="Arial Narrow" w:cs="Arial Narrow"/>
                <w:color w:val="000000"/>
                <w:sz w:val="20"/>
                <w:szCs w:val="20"/>
              </w:rPr>
              <w:t>.</w:t>
            </w:r>
          </w:p>
          <w:p w:rsidR="00AD04B0" w:rsidRDefault="00137865">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Citu ekonomiku pamatprincipu izmantošanas iespēju apzināšana</w:t>
            </w:r>
          </w:p>
        </w:tc>
        <w:tc>
          <w:tcPr>
            <w:tcW w:w="3118" w:type="dxa"/>
            <w:gridSpan w:val="2"/>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Semināri, esejas, prezentācijas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44" w:type="dxa"/>
            <w:gridSpan w:val="5"/>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Izpratne par patērētāju ietekmi uz ekonomiku. Patērētāju uzvedības modeļi</w:t>
            </w:r>
          </w:p>
        </w:tc>
        <w:tc>
          <w:tcPr>
            <w:tcW w:w="3118" w:type="dxa"/>
            <w:gridSpan w:val="2"/>
            <w:shd w:val="clear" w:color="auto" w:fill="auto"/>
            <w:vAlign w:val="center"/>
          </w:tcPr>
          <w:p w:rsidR="00AD04B0" w:rsidRDefault="00137865">
            <w:pPr>
              <w:rPr>
                <w:rFonts w:ascii="Arial Narrow" w:eastAsia="Arial Narrow" w:hAnsi="Arial Narrow" w:cs="Arial Narrow"/>
                <w:sz w:val="20"/>
                <w:szCs w:val="20"/>
              </w:rPr>
            </w:pPr>
            <w:r>
              <w:rPr>
                <w:rFonts w:ascii="Arial Narrow" w:eastAsia="Arial Narrow" w:hAnsi="Arial Narrow" w:cs="Arial Narrow"/>
                <w:sz w:val="20"/>
                <w:szCs w:val="20"/>
              </w:rPr>
              <w:t>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44" w:type="dxa"/>
            <w:gridSpan w:val="5"/>
            <w:shd w:val="clear" w:color="auto" w:fill="auto"/>
            <w:vAlign w:val="center"/>
          </w:tcPr>
          <w:p w:rsidR="00AD04B0" w:rsidRDefault="00137865">
            <w:pPr>
              <w:rPr>
                <w:rFonts w:ascii="Arial Narrow" w:eastAsia="Arial Narrow" w:hAnsi="Arial Narrow" w:cs="Arial Narrow"/>
              </w:rPr>
            </w:pPr>
            <w:r>
              <w:rPr>
                <w:rFonts w:ascii="Arial Narrow" w:eastAsia="Arial Narrow" w:hAnsi="Arial Narrow" w:cs="Arial Narrow"/>
                <w:sz w:val="20"/>
                <w:szCs w:val="20"/>
              </w:rPr>
              <w:t>Izpratne par IT instrumentu pielietošanu lēmumu pieņemšanā un monitoringā.</w:t>
            </w:r>
          </w:p>
        </w:tc>
        <w:tc>
          <w:tcPr>
            <w:tcW w:w="3118" w:type="dxa"/>
            <w:gridSpan w:val="2"/>
            <w:shd w:val="clear" w:color="auto" w:fill="auto"/>
            <w:vAlign w:val="center"/>
          </w:tcPr>
          <w:p w:rsidR="00AD04B0" w:rsidRDefault="00137865">
            <w:pPr>
              <w:rPr>
                <w:rFonts w:ascii="Arial Narrow" w:eastAsia="Arial Narrow" w:hAnsi="Arial Narrow" w:cs="Arial Narrow"/>
              </w:rPr>
            </w:pPr>
            <w:r>
              <w:rPr>
                <w:rFonts w:ascii="Arial Narrow" w:eastAsia="Arial Narrow" w:hAnsi="Arial Narrow" w:cs="Arial Narrow"/>
                <w:sz w:val="20"/>
                <w:szCs w:val="20"/>
              </w:rPr>
              <w:t>Semināri, prezentācijas.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rPr>
            </w:pPr>
          </w:p>
        </w:tc>
        <w:tc>
          <w:tcPr>
            <w:tcW w:w="6662" w:type="dxa"/>
            <w:gridSpan w:val="7"/>
            <w:shd w:val="clear" w:color="auto" w:fill="F2F2F2"/>
            <w:vAlign w:val="center"/>
          </w:tcPr>
          <w:p w:rsidR="00AD04B0" w:rsidRDefault="00137865">
            <w:pPr>
              <w:pBdr>
                <w:top w:val="nil"/>
                <w:left w:val="nil"/>
                <w:bottom w:val="nil"/>
                <w:right w:val="nil"/>
                <w:between w:val="nil"/>
              </w:pBdr>
              <w:spacing w:line="276"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Prasmes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Spējas analizēt un izvērtēt dažādus ekonomikas veidus</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Rakstveida ziņojums, seminārs</w:t>
            </w:r>
          </w:p>
        </w:tc>
      </w:tr>
      <w:tr w:rsidR="00AD04B0">
        <w:trPr>
          <w:trHeight w:val="1135"/>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highlight w:val="white"/>
              </w:rPr>
              <w:t>Paskaidrot un kompleksi novērtēt ārējās vides faktoru ietekmi uz iekšējiem organizācijas procesiem, pastiprinātos nenoteiktības apstākļos</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Rakstveida ziņojums, 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highlight w:val="white"/>
              </w:rPr>
              <w:t>Tehnoloģiju izmantošana darba efektivitātei un augstākai ticamībai</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Rakstveida ziņojums, 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Izvērtēt un salīdzināt pasaulē notiekošo ekonomikas procesu ietekmi konkrētā valstī, reģionā</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color w:val="000000"/>
                <w:sz w:val="20"/>
                <w:szCs w:val="20"/>
              </w:rPr>
              <w:t>Rakstveida ziņojums, 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Prasme sniegt argumentētu viedokli par ekonomikas un uzņēmējdarbības tendencēm Latvijā un pasaulē</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6662" w:type="dxa"/>
            <w:gridSpan w:val="7"/>
            <w:shd w:val="clear" w:color="auto" w:fill="F2F2F2"/>
            <w:vAlign w:val="center"/>
          </w:tcPr>
          <w:p w:rsidR="00AD04B0" w:rsidRDefault="00137865">
            <w:pPr>
              <w:pBdr>
                <w:top w:val="nil"/>
                <w:left w:val="nil"/>
                <w:bottom w:val="nil"/>
                <w:right w:val="nil"/>
                <w:between w:val="nil"/>
              </w:pBdr>
              <w:spacing w:line="276"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Kompetences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highlight w:val="white"/>
              </w:rPr>
              <w:t>Spēj vadības un ekonomikas teorijas pielietot praksē, pamatojumos, argumentos, plānošanā</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Rakstveida ziņojums, 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Spēj pielietot kompetenču novērtēšanas dažādas pieejas personāla vadībā </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Seminārs</w:t>
            </w:r>
          </w:p>
        </w:tc>
      </w:tr>
      <w:tr w:rsidR="00AD04B0">
        <w:trPr>
          <w:trHeight w:val="120"/>
        </w:trPr>
        <w:tc>
          <w:tcPr>
            <w:tcW w:w="2518" w:type="dxa"/>
            <w:vMerge/>
            <w:shd w:val="clear" w:color="auto" w:fill="auto"/>
            <w:vAlign w:val="center"/>
          </w:tcPr>
          <w:p w:rsidR="00AD04B0" w:rsidRDefault="00AD04B0">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3544" w:type="dxa"/>
            <w:gridSpan w:val="5"/>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Spēj inovatīvi diagnosticēt un risināt problēmas ekonomikā un uzņēmējdarbībā, hibridizējot savas zināšanas, prasmes un veidojot jaunas vērtības mainīgās kompleksās situācijās</w:t>
            </w:r>
          </w:p>
        </w:tc>
        <w:tc>
          <w:tcPr>
            <w:tcW w:w="3118" w:type="dxa"/>
            <w:gridSpan w:val="2"/>
            <w:shd w:val="clear" w:color="auto" w:fill="auto"/>
            <w:vAlign w:val="center"/>
          </w:tcPr>
          <w:p w:rsidR="00AD04B0" w:rsidRDefault="0013786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Rakstveida ziņojums, seminārs</w:t>
            </w: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Studiju kursa obligātā literatūra:</w:t>
            </w:r>
          </w:p>
        </w:tc>
        <w:tc>
          <w:tcPr>
            <w:tcW w:w="6662" w:type="dxa"/>
            <w:gridSpan w:val="7"/>
            <w:shd w:val="clear" w:color="auto" w:fill="auto"/>
          </w:tcPr>
          <w:p w:rsidR="009B4301" w:rsidRDefault="009B4301">
            <w:pPr>
              <w:spacing w:before="240" w:after="240"/>
              <w:rPr>
                <w:rFonts w:ascii="Arial Narrow" w:eastAsia="Arial Narrow" w:hAnsi="Arial Narrow" w:cs="Arial Narrow"/>
                <w:b/>
                <w:sz w:val="18"/>
                <w:szCs w:val="18"/>
              </w:rPr>
            </w:pPr>
            <w:r>
              <w:rPr>
                <w:rFonts w:ascii="Arial Narrow" w:eastAsia="Arial Narrow" w:hAnsi="Arial Narrow" w:cs="Arial Narrow"/>
                <w:b/>
                <w:sz w:val="18"/>
                <w:szCs w:val="18"/>
              </w:rPr>
              <w:t>Ekonomikas attīstības tendences:</w:t>
            </w:r>
          </w:p>
          <w:p w:rsidR="00AD04B0" w:rsidRPr="009B4301" w:rsidRDefault="00137865">
            <w:pPr>
              <w:spacing w:before="240" w:after="240"/>
              <w:rPr>
                <w:rFonts w:ascii="Arial Narrow" w:eastAsia="Arial Narrow" w:hAnsi="Arial Narrow" w:cs="Arial Narrow"/>
                <w:sz w:val="18"/>
                <w:szCs w:val="18"/>
              </w:rPr>
            </w:pPr>
            <w:r w:rsidRPr="009B4301">
              <w:rPr>
                <w:rFonts w:ascii="Arial Narrow" w:eastAsia="Arial Narrow" w:hAnsi="Arial Narrow" w:cs="Arial Narrow"/>
                <w:sz w:val="18"/>
                <w:szCs w:val="18"/>
              </w:rPr>
              <w:t>John T.Harvey (2020) Contending perspectives in economics, A guide to Contemporary Schools of Thought. Edward Elgar publishing</w:t>
            </w:r>
          </w:p>
          <w:p w:rsidR="00AD04B0" w:rsidRDefault="00137865">
            <w:pPr>
              <w:rPr>
                <w:rFonts w:ascii="Arial Narrow" w:eastAsia="Arial Narrow" w:hAnsi="Arial Narrow" w:cs="Arial Narrow"/>
                <w:b/>
                <w:sz w:val="18"/>
                <w:szCs w:val="18"/>
              </w:rPr>
            </w:pPr>
            <w:r>
              <w:rPr>
                <w:rFonts w:ascii="Arial Narrow" w:eastAsia="Arial Narrow" w:hAnsi="Arial Narrow" w:cs="Arial Narrow"/>
                <w:b/>
                <w:sz w:val="18"/>
                <w:szCs w:val="18"/>
              </w:rPr>
              <w:t>Ilgermiņa plānošana, ANO mērķi:</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International Monetary Fund. (Annual) Regional Economic Outlook: Europe. 2019 November</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lastRenderedPageBreak/>
              <w:t>World Economic Forum. Reports.https://www.weforum.org/</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The United Nations. The sustainable development goals 2030.https://www.un.org/sustainabledevelopment/sustainable-development-goals/</w:t>
            </w:r>
          </w:p>
          <w:p w:rsidR="00915ED2" w:rsidRPr="00915ED2" w:rsidRDefault="00915ED2">
            <w:pPr>
              <w:rPr>
                <w:rFonts w:ascii="Arial Narrow" w:eastAsia="Arial Narrow" w:hAnsi="Arial Narrow" w:cs="Arial Narrow"/>
                <w:b/>
                <w:sz w:val="18"/>
                <w:szCs w:val="18"/>
              </w:rPr>
            </w:pPr>
            <w:r w:rsidRPr="00915ED2">
              <w:rPr>
                <w:rFonts w:ascii="Arial Narrow" w:eastAsia="Arial Narrow" w:hAnsi="Arial Narrow" w:cs="Arial Narrow"/>
                <w:b/>
                <w:sz w:val="18"/>
                <w:szCs w:val="18"/>
              </w:rPr>
              <w:t>The impact of globalization on the business and economy</w:t>
            </w:r>
            <w:r>
              <w:rPr>
                <w:rFonts w:ascii="Arial Narrow" w:eastAsia="Arial Narrow" w:hAnsi="Arial Narrow" w:cs="Arial Narrow"/>
                <w:b/>
                <w:sz w:val="18"/>
                <w:szCs w:val="18"/>
              </w:rPr>
              <w:t>:</w:t>
            </w:r>
          </w:p>
          <w:p w:rsidR="00915ED2" w:rsidRDefault="00915ED2" w:rsidP="00915ED2">
            <w:pPr>
              <w:jc w:val="both"/>
              <w:rPr>
                <w:rFonts w:ascii="Arial Narrow" w:hAnsi="Arial Narrow"/>
                <w:sz w:val="18"/>
                <w:szCs w:val="18"/>
              </w:rPr>
            </w:pPr>
            <w:r>
              <w:rPr>
                <w:rFonts w:ascii="Arial Narrow" w:hAnsi="Arial Narrow"/>
                <w:sz w:val="18"/>
                <w:szCs w:val="18"/>
              </w:rPr>
              <w:t>Andrews, D., Criscuolo, C&amp;Gal, P.,2015, ”Frontier firms, Technology Diffusion and Public Policy:Micro Evidence from OECD Countries”. OECD Productivity Working Paper.</w:t>
            </w:r>
          </w:p>
          <w:p w:rsidR="00915ED2" w:rsidRDefault="00915ED2" w:rsidP="00915ED2">
            <w:pPr>
              <w:jc w:val="both"/>
              <w:rPr>
                <w:rFonts w:ascii="Arial Narrow" w:hAnsi="Arial Narrow"/>
                <w:sz w:val="18"/>
                <w:szCs w:val="18"/>
              </w:rPr>
            </w:pPr>
            <w:r>
              <w:rPr>
                <w:rFonts w:ascii="Arial Narrow" w:hAnsi="Arial Narrow"/>
                <w:sz w:val="18"/>
                <w:szCs w:val="18"/>
              </w:rPr>
              <w:t>Auer, I., Yeaple, S.,2013, Multinational Firms and the Structure of International Trade – NBER Working Paper No.18775</w:t>
            </w:r>
          </w:p>
          <w:p w:rsidR="00AD04B0" w:rsidRDefault="00137865">
            <w:pPr>
              <w:rPr>
                <w:rFonts w:ascii="Arial Narrow" w:eastAsia="Arial Narrow" w:hAnsi="Arial Narrow" w:cs="Arial Narrow"/>
                <w:b/>
                <w:sz w:val="18"/>
                <w:szCs w:val="18"/>
              </w:rPr>
            </w:pPr>
            <w:r>
              <w:rPr>
                <w:rFonts w:ascii="Arial Narrow" w:eastAsia="Arial Narrow" w:hAnsi="Arial Narrow" w:cs="Arial Narrow"/>
                <w:b/>
                <w:sz w:val="18"/>
                <w:szCs w:val="18"/>
              </w:rPr>
              <w:t>Cilvēkresursu vadība:</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Dubois D.D. Competency-Based Human Resource Management/Rothwell, W.J. – Palo Alto, Davies – Black Publishing, 2004</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Candula S.  Competency-Based Human Resource Management/Asoke Ghosh Publishing, 2013</w:t>
            </w:r>
          </w:p>
          <w:p w:rsidR="00427C27" w:rsidRPr="00427C27" w:rsidRDefault="00427C27">
            <w:pPr>
              <w:rPr>
                <w:rFonts w:ascii="Arial Narrow" w:eastAsia="Arial Narrow" w:hAnsi="Arial Narrow" w:cs="Arial Narrow"/>
                <w:b/>
                <w:sz w:val="18"/>
                <w:szCs w:val="18"/>
              </w:rPr>
            </w:pPr>
            <w:r w:rsidRPr="00427C27">
              <w:rPr>
                <w:rFonts w:ascii="Arial Narrow" w:eastAsia="Arial Narrow" w:hAnsi="Arial Narrow" w:cs="Arial Narrow"/>
                <w:b/>
                <w:sz w:val="18"/>
                <w:szCs w:val="18"/>
              </w:rPr>
              <w:t>Finanses un riski:</w:t>
            </w:r>
          </w:p>
          <w:p w:rsidR="00427C27" w:rsidRDefault="00427C27">
            <w:pPr>
              <w:rPr>
                <w:rFonts w:ascii="Arial Narrow" w:eastAsia="Arial Narrow" w:hAnsi="Arial Narrow" w:cs="Arial Narrow"/>
                <w:sz w:val="18"/>
                <w:szCs w:val="18"/>
              </w:rPr>
            </w:pPr>
            <w:r w:rsidRPr="00427C27">
              <w:rPr>
                <w:rFonts w:ascii="Arial Narrow" w:eastAsia="Arial Narrow" w:hAnsi="Arial Narrow" w:cs="Arial Narrow"/>
                <w:sz w:val="18"/>
                <w:szCs w:val="18"/>
              </w:rPr>
              <w:t>"Fundamentals of Corporate Finance", by Stephen A. Ross,  Randolph W Westerfield and Bradford D Jordan ,2018, https://www.mheducation.co.uk/9781260091908-emea-fundamentals-of-corporate-finance</w:t>
            </w:r>
          </w:p>
          <w:p w:rsidR="00AD04B0" w:rsidRDefault="00137865">
            <w:pPr>
              <w:rPr>
                <w:rFonts w:ascii="Arial Narrow" w:eastAsia="Arial Narrow" w:hAnsi="Arial Narrow" w:cs="Arial Narrow"/>
                <w:b/>
                <w:sz w:val="18"/>
                <w:szCs w:val="18"/>
              </w:rPr>
            </w:pPr>
            <w:r>
              <w:rPr>
                <w:rFonts w:ascii="Arial Narrow" w:eastAsia="Arial Narrow" w:hAnsi="Arial Narrow" w:cs="Arial Narrow"/>
                <w:b/>
                <w:sz w:val="18"/>
                <w:szCs w:val="18"/>
              </w:rPr>
              <w:t>Aprites un vides ekonomika:</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Weetman C. (2017). A Circular Economy Handbook for Business and Supply chains, KoganPage</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Harris J.M., Roach B. (2018) Environmental and Natural Resource Economics. Fourth Edition, Routledge</w:t>
            </w:r>
          </w:p>
          <w:p w:rsidR="00AD04B0" w:rsidRDefault="00137865">
            <w:pPr>
              <w:rPr>
                <w:rFonts w:ascii="Arial Narrow" w:eastAsia="Arial Narrow" w:hAnsi="Arial Narrow" w:cs="Arial Narrow"/>
                <w:b/>
                <w:sz w:val="18"/>
                <w:szCs w:val="18"/>
              </w:rPr>
            </w:pPr>
            <w:r>
              <w:rPr>
                <w:rFonts w:ascii="Arial Narrow" w:eastAsia="Arial Narrow" w:hAnsi="Arial Narrow" w:cs="Arial Narrow"/>
                <w:b/>
                <w:sz w:val="18"/>
                <w:szCs w:val="18"/>
              </w:rPr>
              <w:t>IT un datu ieguve:</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L.Torgo, P.C.Bruce, G.Shmueli, I.Yahav, N.R.Patel, K.C.Lichtendahl. Data Mining for Business Analytics: Concepts, Techniques, and Applications in R, Wiley-Blackwell, 2017</w:t>
            </w:r>
          </w:p>
          <w:p w:rsidR="00AD04B0" w:rsidRDefault="009B4301">
            <w:pPr>
              <w:rPr>
                <w:rFonts w:ascii="Arial Narrow" w:eastAsia="Arial Narrow" w:hAnsi="Arial Narrow" w:cs="Arial Narrow"/>
                <w:b/>
                <w:sz w:val="18"/>
                <w:szCs w:val="18"/>
              </w:rPr>
            </w:pPr>
            <w:r>
              <w:rPr>
                <w:rFonts w:ascii="Arial Narrow" w:eastAsia="Arial Narrow" w:hAnsi="Arial Narrow" w:cs="Arial Narrow"/>
                <w:b/>
                <w:sz w:val="18"/>
                <w:szCs w:val="18"/>
              </w:rPr>
              <w:t xml:space="preserve"> </w:t>
            </w:r>
            <w:r w:rsidR="00137865">
              <w:rPr>
                <w:rFonts w:ascii="Arial Narrow" w:eastAsia="Arial Narrow" w:hAnsi="Arial Narrow" w:cs="Arial Narrow"/>
                <w:b/>
                <w:sz w:val="18"/>
                <w:szCs w:val="18"/>
              </w:rPr>
              <w:t>Sabiedrības attīstības un tirgvedības tendences.  Pakalpojumu dizains.  Integrētā mārketinga komunikācija, t.sk. digitālie risinājumi:</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Martinez V., Neely A., Velu C., Leinster-Evans S., Bisessar D. (2019) Exploring the Journey to Services. In: Maglio P., Kieliszewski C., Spohrer J., Lyons K., Patrício L., Sawatani Y. (eds) Handbook of Service Science, Volume II. Service Science: Research and Innovations in the Service Economy. Springer, Cham</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Allon G., Bassamboo A., Çil E.B. (2019) Large-Scale Service Marketplaces: The Role of the Moderating Firm. In: Hu M. (eds) Sharing Economy. Springer Series in Supply Chain Management, vol 6. Springer, Cham</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Baines, T., Lightfoot, H., Benedettini, O., Kay, J. (2009). The servitization of manufacturing. A review of literature and reflection on future challenges. Journal of Manufacturing Technology, 20 (5), 547–567.</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de Mooij, M. (2019). Consumer Behavior and Culture: Consequences for Global Marketing and Advertising. Sage: https://books.google.lv/books?hl=lv&amp;lr=&amp;id=DOqaDwAAQBAJ&amp;oi=fnd&amp;pg=PP1&amp;dq=Marketing+communication+2019&amp;ots=aSxHwmsObp&amp;sig=r_GljJQP-uVxU02CgGoavDE8muQ&amp;redir_esc=y#v=onepage&amp;q=Marketing%20communication%202019&amp;f=false</w:t>
            </w:r>
          </w:p>
          <w:p w:rsidR="00AD04B0" w:rsidRDefault="00137865">
            <w:pPr>
              <w:rPr>
                <w:rFonts w:ascii="Arial Narrow" w:eastAsia="Arial Narrow" w:hAnsi="Arial Narrow" w:cs="Arial Narrow"/>
                <w:b/>
                <w:sz w:val="18"/>
                <w:szCs w:val="18"/>
              </w:rPr>
            </w:pPr>
            <w:r>
              <w:rPr>
                <w:rFonts w:ascii="Arial Narrow" w:eastAsia="Arial Narrow" w:hAnsi="Arial Narrow" w:cs="Arial Narrow"/>
                <w:b/>
                <w:sz w:val="18"/>
                <w:szCs w:val="18"/>
              </w:rPr>
              <w:t>Patērētāja uzvedība un ekonomika:</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Altman, M. (Ed.) (2006). Handbook of contemporary behavioral economics: foundations and developments. M.E.Sharpe</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Cartwright, E. (2018). Behavioral Economics (3rd edition). Routledge</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Phillips D., Piacentini M., Szmigin I Consumer Behavior and Insights. Oxford University Press, USA, 2020</w:t>
            </w:r>
          </w:p>
          <w:p w:rsidR="00AD04B0" w:rsidRDefault="00137865">
            <w:pPr>
              <w:rPr>
                <w:rFonts w:ascii="Arial Narrow" w:eastAsia="Arial Narrow" w:hAnsi="Arial Narrow" w:cs="Arial Narrow"/>
                <w:sz w:val="18"/>
                <w:szCs w:val="18"/>
              </w:rPr>
            </w:pPr>
            <w:r>
              <w:rPr>
                <w:rFonts w:ascii="Arial Narrow" w:eastAsia="Arial Narrow" w:hAnsi="Arial Narrow" w:cs="Arial Narrow"/>
                <w:sz w:val="18"/>
                <w:szCs w:val="18"/>
              </w:rPr>
              <w:t>Solomon M., Hogg., M., Askegaard, S.      Consumer Behaviour: A European Perspective, Pearson Education Limited, 2019</w:t>
            </w:r>
          </w:p>
          <w:p w:rsidR="00AD04B0" w:rsidRDefault="00137865">
            <w:pPr>
              <w:rPr>
                <w:rFonts w:ascii="Arial Narrow" w:eastAsia="Arial Narrow" w:hAnsi="Arial Narrow" w:cs="Arial Narrow"/>
                <w:b/>
                <w:sz w:val="18"/>
                <w:szCs w:val="18"/>
              </w:rPr>
            </w:pPr>
            <w:r>
              <w:rPr>
                <w:rFonts w:ascii="Arial Narrow" w:eastAsia="Arial Narrow" w:hAnsi="Arial Narrow" w:cs="Arial Narrow"/>
                <w:sz w:val="18"/>
                <w:szCs w:val="18"/>
              </w:rPr>
              <w:t xml:space="preserve">Lok J., Behavioral Economy How Researchs Consumer Behaviors, Amazon Media EU, 2013    </w:t>
            </w:r>
            <w:r w:rsidR="009B4301">
              <w:rPr>
                <w:rFonts w:ascii="Arial Narrow" w:eastAsia="Arial Narrow" w:hAnsi="Arial Narrow" w:cs="Arial Narrow"/>
                <w:b/>
                <w:sz w:val="18"/>
                <w:szCs w:val="18"/>
              </w:rPr>
              <w:t xml:space="preserve"> </w:t>
            </w:r>
          </w:p>
          <w:p w:rsidR="009B4301" w:rsidRDefault="009B4301">
            <w:pPr>
              <w:rPr>
                <w:rFonts w:ascii="Arial Narrow" w:eastAsia="Arial Narrow" w:hAnsi="Arial Narrow" w:cs="Arial Narrow"/>
                <w:b/>
                <w:sz w:val="18"/>
                <w:szCs w:val="18"/>
              </w:rPr>
            </w:pPr>
            <w:r w:rsidRPr="009B4301">
              <w:rPr>
                <w:rFonts w:ascii="Arial Narrow" w:eastAsia="Arial Narrow" w:hAnsi="Arial Narrow" w:cs="Arial Narrow"/>
                <w:b/>
                <w:sz w:val="18"/>
                <w:szCs w:val="18"/>
              </w:rPr>
              <w:t>Ekonomiskā prognozēšana</w:t>
            </w:r>
            <w:r>
              <w:rPr>
                <w:rFonts w:ascii="Arial Narrow" w:eastAsia="Arial Narrow" w:hAnsi="Arial Narrow" w:cs="Arial Narrow"/>
                <w:b/>
                <w:sz w:val="18"/>
                <w:szCs w:val="18"/>
              </w:rPr>
              <w:t>:</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Carnot N., Koen V., Tissot B. Economic Forecasting and Policy. Palgrave Macmillan, 2016.</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Molnar A.T. Economic forecasting. Nova Science Publisher, New York, 2010.</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 xml:space="preserve">Holden K., Peel D.A., Thompson J.L. Economic forecasting: an introduction. Cambridge University Press, 1990. </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Walsh C. Key Management Ratios. FT Prentice Hall, 2003.</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Bragg S..Business Ratios and Formulas. A comprehensive Guide. John Wiley&amp;Sons, 2002</w:t>
            </w:r>
          </w:p>
          <w:p w:rsidR="004E2C43" w:rsidRPr="004E2C43" w:rsidRDefault="004E2C43" w:rsidP="004E2C43">
            <w:pPr>
              <w:rPr>
                <w:rFonts w:ascii="Arial Narrow" w:eastAsia="Arial Narrow" w:hAnsi="Arial Narrow" w:cs="Arial Narrow"/>
                <w:sz w:val="18"/>
                <w:szCs w:val="18"/>
              </w:rPr>
            </w:pPr>
            <w:r w:rsidRPr="004E2C43">
              <w:rPr>
                <w:rFonts w:ascii="Arial Narrow" w:eastAsia="Arial Narrow" w:hAnsi="Arial Narrow" w:cs="Arial Narrow"/>
                <w:sz w:val="18"/>
                <w:szCs w:val="18"/>
              </w:rPr>
              <w:t>Pring J.M.. Tehnical Analysis Explained. – New York: McGraw – Hill, Inc., 2007.</w:t>
            </w:r>
          </w:p>
          <w:p w:rsidR="00AD04B0" w:rsidRDefault="00AD04B0">
            <w:pPr>
              <w:rPr>
                <w:rFonts w:ascii="Arial Narrow" w:eastAsia="Arial Narrow" w:hAnsi="Arial Narrow" w:cs="Arial Narrow"/>
                <w:sz w:val="18"/>
                <w:szCs w:val="18"/>
              </w:rPr>
            </w:pP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lastRenderedPageBreak/>
              <w:t>Studiju kursa papildliteratūra:</w:t>
            </w:r>
          </w:p>
        </w:tc>
        <w:tc>
          <w:tcPr>
            <w:tcW w:w="6662" w:type="dxa"/>
            <w:gridSpan w:val="7"/>
            <w:shd w:val="clear" w:color="auto" w:fill="auto"/>
          </w:tcPr>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Gangani, N, McLean, Braden R. A Competency</w:t>
            </w:r>
            <w:r>
              <w:rPr>
                <w:rFonts w:ascii="Cambria Math" w:eastAsia="Cambria Math" w:hAnsi="Cambria Math" w:cs="Cambria Math"/>
                <w:sz w:val="18"/>
                <w:szCs w:val="18"/>
              </w:rPr>
              <w:t>‐</w:t>
            </w:r>
            <w:r>
              <w:rPr>
                <w:rFonts w:ascii="Arial Narrow" w:eastAsia="Arial Narrow" w:hAnsi="Arial Narrow" w:cs="Arial Narrow"/>
                <w:sz w:val="18"/>
                <w:szCs w:val="18"/>
              </w:rPr>
              <w:t>Based Human Resource Development Strategy, Wiley Online Library, 2006, 1111-1118</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Sienkiewicz et al Competency-Based Human Resource Management: Lifelong Learning Perspective, Educational Research Institute, Warshaw, 2014</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Levensaler, Leighanne; Laurano, Madeline  Talent Management Systems 2010, Bersin &amp; Associates, 20099</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lastRenderedPageBreak/>
              <w:t>Draganidis, F., &amp; Mentzas, G. (2006). Competency-based management: A review of systems and approaches. Information Management &amp; Computer Security, 14, 51–64</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Angelis R. (2018) Business models in Circular Economy, Palgrave-Pivot</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Stahel W.R. (2019) The Circular Economy: A User’s Guide, Routledge</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 xml:space="preserve">Solomon M.,(2018)  Beyond Consumer Behavior: How Buying Habits Shape Identity. Pearson </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Edition Limited</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 xml:space="preserve">F. Provost, T. Fawcett. Data Science for Business : what you need to know about data </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mining and data-analytic thinking, O’Reilly, 2013</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Gummesson, E. (2017). From relationship marketing to total relationship marketing and beyond. Journal of Services Marketing, 31 (1), 16-19.</w:t>
            </w:r>
          </w:p>
          <w:p w:rsidR="00AD04B0" w:rsidRDefault="00137865">
            <w:pPr>
              <w:spacing w:line="276" w:lineRule="auto"/>
              <w:ind w:right="-514"/>
              <w:jc w:val="both"/>
              <w:rPr>
                <w:rFonts w:ascii="Arial Narrow" w:eastAsia="Arial Narrow" w:hAnsi="Arial Narrow" w:cs="Arial Narrow"/>
                <w:sz w:val="18"/>
                <w:szCs w:val="18"/>
              </w:rPr>
            </w:pPr>
            <w:r>
              <w:rPr>
                <w:rFonts w:ascii="Arial Narrow" w:eastAsia="Arial Narrow" w:hAnsi="Arial Narrow" w:cs="Arial Narrow"/>
                <w:sz w:val="18"/>
                <w:szCs w:val="18"/>
              </w:rPr>
              <w:t>Baines, T., Lightfoot, H., Smart, P., Fletcher, S. (2013). Servitization of manufacture: Exploring the deployment and skills of people critical to the delivery of advanced services. Journal of Manufacturing Technology Management, 24 (4), 637–646.</w:t>
            </w:r>
          </w:p>
          <w:p w:rsidR="0045454F" w:rsidRPr="0045454F" w:rsidRDefault="0045454F" w:rsidP="0045454F">
            <w:pPr>
              <w:spacing w:line="276" w:lineRule="auto"/>
              <w:ind w:right="-514"/>
              <w:jc w:val="both"/>
              <w:rPr>
                <w:rFonts w:ascii="Arial Narrow" w:eastAsia="Arial Narrow" w:hAnsi="Arial Narrow" w:cs="Arial Narrow"/>
                <w:sz w:val="18"/>
                <w:szCs w:val="18"/>
              </w:rPr>
            </w:pPr>
            <w:r w:rsidRPr="0045454F">
              <w:rPr>
                <w:rFonts w:ascii="Arial Narrow" w:eastAsia="Arial Narrow" w:hAnsi="Arial Narrow" w:cs="Arial Narrow"/>
                <w:sz w:val="18"/>
                <w:szCs w:val="18"/>
              </w:rPr>
              <w:t>Baldwin, R., 2016, The Great Convergence: Information. Technology and the New Globalization. Harward University Press</w:t>
            </w:r>
          </w:p>
          <w:p w:rsidR="0045454F" w:rsidRPr="0045454F" w:rsidRDefault="0045454F" w:rsidP="0045454F">
            <w:pPr>
              <w:spacing w:line="276" w:lineRule="auto"/>
              <w:ind w:right="-514"/>
              <w:jc w:val="both"/>
              <w:rPr>
                <w:rFonts w:ascii="Arial Narrow" w:eastAsia="Arial Narrow" w:hAnsi="Arial Narrow" w:cs="Arial Narrow"/>
                <w:sz w:val="18"/>
                <w:szCs w:val="18"/>
              </w:rPr>
            </w:pPr>
            <w:r w:rsidRPr="0045454F">
              <w:rPr>
                <w:rFonts w:ascii="Arial Narrow" w:eastAsia="Arial Narrow" w:hAnsi="Arial Narrow" w:cs="Arial Narrow"/>
                <w:sz w:val="18"/>
                <w:szCs w:val="18"/>
              </w:rPr>
              <w:t>Baldwin, R.,2010, “Trade liberalization with Hererogenouss Firms”, Review of Development Economics</w:t>
            </w:r>
          </w:p>
          <w:p w:rsidR="0045454F" w:rsidRPr="0045454F" w:rsidRDefault="0045454F" w:rsidP="0045454F">
            <w:pPr>
              <w:spacing w:line="276" w:lineRule="auto"/>
              <w:ind w:right="-514"/>
              <w:jc w:val="both"/>
              <w:rPr>
                <w:rFonts w:ascii="Arial Narrow" w:eastAsia="Arial Narrow" w:hAnsi="Arial Narrow" w:cs="Arial Narrow"/>
                <w:sz w:val="18"/>
                <w:szCs w:val="18"/>
              </w:rPr>
            </w:pPr>
            <w:r w:rsidRPr="0045454F">
              <w:rPr>
                <w:rFonts w:ascii="Arial Narrow" w:eastAsia="Arial Narrow" w:hAnsi="Arial Narrow" w:cs="Arial Narrow"/>
                <w:sz w:val="18"/>
                <w:szCs w:val="18"/>
              </w:rPr>
              <w:t>Bloom, N., 2011, “Human Resource Management and Productivity” in Handbook of Labour Economics, Elsevier</w:t>
            </w:r>
          </w:p>
          <w:p w:rsidR="0045454F" w:rsidRDefault="0045454F" w:rsidP="0045454F">
            <w:pPr>
              <w:spacing w:line="276" w:lineRule="auto"/>
              <w:ind w:right="-514"/>
              <w:jc w:val="both"/>
              <w:rPr>
                <w:rFonts w:ascii="Arial Narrow" w:eastAsia="Arial Narrow" w:hAnsi="Arial Narrow" w:cs="Arial Narrow"/>
                <w:sz w:val="18"/>
                <w:szCs w:val="18"/>
              </w:rPr>
            </w:pPr>
            <w:r w:rsidRPr="0045454F">
              <w:rPr>
                <w:rFonts w:ascii="Arial Narrow" w:eastAsia="Arial Narrow" w:hAnsi="Arial Narrow" w:cs="Arial Narrow"/>
                <w:sz w:val="18"/>
                <w:szCs w:val="18"/>
              </w:rPr>
              <w:t>Gette, G.,Fernald, j.,&amp; Majon, B., 2016, “the Pre-Great Recession Slowdown in Productivity” Federal Reserve Bank of San Francisco Working Paper</w:t>
            </w:r>
          </w:p>
          <w:p w:rsidR="004E2C43" w:rsidRPr="004E2C43" w:rsidRDefault="004E2C43" w:rsidP="004E2C43">
            <w:pPr>
              <w:spacing w:line="276" w:lineRule="auto"/>
              <w:ind w:right="-514"/>
              <w:jc w:val="both"/>
              <w:rPr>
                <w:rFonts w:ascii="Arial Narrow" w:eastAsia="Arial Narrow" w:hAnsi="Arial Narrow" w:cs="Arial Narrow"/>
                <w:sz w:val="18"/>
                <w:szCs w:val="18"/>
              </w:rPr>
            </w:pPr>
            <w:r w:rsidRPr="004E2C43">
              <w:rPr>
                <w:rFonts w:ascii="Arial Narrow" w:eastAsia="Arial Narrow" w:hAnsi="Arial Narrow" w:cs="Arial Narrow"/>
                <w:sz w:val="18"/>
                <w:szCs w:val="18"/>
              </w:rPr>
              <w:t>"Founders at Work: Stories of startups' early days";</w:t>
            </w:r>
          </w:p>
          <w:p w:rsidR="004E2C43" w:rsidRPr="004E2C43" w:rsidRDefault="004E2C43" w:rsidP="004E2C43">
            <w:pPr>
              <w:spacing w:line="276" w:lineRule="auto"/>
              <w:ind w:right="-514"/>
              <w:jc w:val="both"/>
              <w:rPr>
                <w:rFonts w:ascii="Arial Narrow" w:eastAsia="Arial Narrow" w:hAnsi="Arial Narrow" w:cs="Arial Narrow"/>
                <w:sz w:val="18"/>
                <w:szCs w:val="18"/>
              </w:rPr>
            </w:pPr>
            <w:r w:rsidRPr="004E2C43">
              <w:rPr>
                <w:rFonts w:ascii="Arial Narrow" w:eastAsia="Arial Narrow" w:hAnsi="Arial Narrow" w:cs="Arial Narrow"/>
                <w:sz w:val="18"/>
                <w:szCs w:val="18"/>
              </w:rPr>
              <w:t>Clayton M. Christensen "The Innovator's Dilemma"</w:t>
            </w:r>
          </w:p>
          <w:p w:rsidR="004E2C43" w:rsidRDefault="004E2C43" w:rsidP="004E2C43">
            <w:pPr>
              <w:spacing w:line="276" w:lineRule="auto"/>
              <w:ind w:right="-514"/>
              <w:jc w:val="both"/>
              <w:rPr>
                <w:rFonts w:ascii="Arial Narrow" w:eastAsia="Arial Narrow" w:hAnsi="Arial Narrow" w:cs="Arial Narrow"/>
                <w:sz w:val="18"/>
                <w:szCs w:val="18"/>
              </w:rPr>
            </w:pPr>
            <w:r w:rsidRPr="004E2C43">
              <w:rPr>
                <w:rFonts w:ascii="Arial Narrow" w:eastAsia="Arial Narrow" w:hAnsi="Arial Narrow" w:cs="Arial Narrow"/>
                <w:sz w:val="18"/>
                <w:szCs w:val="18"/>
              </w:rPr>
              <w:t>Ron Kornblum "Never too late to startup".</w:t>
            </w: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lastRenderedPageBreak/>
              <w:t>Studiju kursa un tā apraksta apstiprinājuma datums:</w:t>
            </w:r>
          </w:p>
        </w:tc>
        <w:tc>
          <w:tcPr>
            <w:tcW w:w="6662" w:type="dxa"/>
            <w:gridSpan w:val="7"/>
            <w:shd w:val="clear" w:color="auto" w:fill="auto"/>
            <w:vAlign w:val="center"/>
          </w:tcPr>
          <w:p w:rsidR="00AD04B0" w:rsidRDefault="00137865">
            <w:pPr>
              <w:ind w:left="34"/>
              <w:rPr>
                <w:rFonts w:ascii="Arial Narrow" w:eastAsia="Arial Narrow" w:hAnsi="Arial Narrow" w:cs="Arial Narrow"/>
                <w:sz w:val="18"/>
                <w:szCs w:val="18"/>
              </w:rPr>
            </w:pPr>
            <w:r>
              <w:rPr>
                <w:rFonts w:ascii="Arial Narrow" w:eastAsia="Arial Narrow" w:hAnsi="Arial Narrow" w:cs="Arial Narrow"/>
                <w:color w:val="000000"/>
                <w:sz w:val="18"/>
                <w:szCs w:val="18"/>
              </w:rPr>
              <w:t>2019.</w:t>
            </w:r>
          </w:p>
        </w:tc>
      </w:tr>
      <w:tr w:rsidR="00AD04B0">
        <w:tc>
          <w:tcPr>
            <w:tcW w:w="2518" w:type="dxa"/>
            <w:shd w:val="clear" w:color="auto" w:fill="auto"/>
            <w:vAlign w:val="center"/>
          </w:tcPr>
          <w:p w:rsidR="00AD04B0" w:rsidRDefault="00137865">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Studiju kursa apraksts aktualizēšanas datums:</w:t>
            </w:r>
          </w:p>
        </w:tc>
        <w:tc>
          <w:tcPr>
            <w:tcW w:w="6662" w:type="dxa"/>
            <w:gridSpan w:val="7"/>
            <w:shd w:val="clear" w:color="auto" w:fill="auto"/>
            <w:vAlign w:val="center"/>
          </w:tcPr>
          <w:p w:rsidR="00AD04B0" w:rsidRDefault="00675837">
            <w:pPr>
              <w:spacing w:line="276" w:lineRule="auto"/>
              <w:ind w:left="34"/>
              <w:rPr>
                <w:rFonts w:ascii="Arial Narrow" w:eastAsia="Arial Narrow" w:hAnsi="Arial Narrow" w:cs="Arial Narrow"/>
                <w:sz w:val="18"/>
                <w:szCs w:val="18"/>
              </w:rPr>
            </w:pPr>
            <w:r>
              <w:rPr>
                <w:rFonts w:ascii="Arial Narrow" w:eastAsia="Arial Narrow" w:hAnsi="Arial Narrow" w:cs="Arial Narrow"/>
                <w:sz w:val="18"/>
                <w:szCs w:val="18"/>
              </w:rPr>
              <w:t>2022. gada 24. janvāris</w:t>
            </w:r>
          </w:p>
        </w:tc>
      </w:tr>
    </w:tbl>
    <w:tbl>
      <w:tblPr>
        <w:tblStyle w:val="a4"/>
        <w:tblpPr w:leftFromText="180" w:rightFromText="180" w:vertAnchor="text" w:horzAnchor="margin" w:tblpXSpec="center" w:tblpY="-8323"/>
        <w:tblW w:w="1049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1"/>
        <w:gridCol w:w="1418"/>
        <w:gridCol w:w="3543"/>
        <w:gridCol w:w="851"/>
        <w:gridCol w:w="3828"/>
      </w:tblGrid>
      <w:tr w:rsidR="00675837" w:rsidTr="00675837">
        <w:tc>
          <w:tcPr>
            <w:tcW w:w="851" w:type="dxa"/>
          </w:tcPr>
          <w:p w:rsidR="00675837" w:rsidRDefault="00675837" w:rsidP="00675837">
            <w:pPr>
              <w:jc w:val="center"/>
              <w:rPr>
                <w:rFonts w:ascii="Arial Narrow" w:eastAsia="Arial Narrow" w:hAnsi="Arial Narrow" w:cs="Arial Narrow"/>
                <w:b/>
                <w:sz w:val="18"/>
                <w:szCs w:val="18"/>
              </w:rPr>
            </w:pPr>
          </w:p>
        </w:tc>
        <w:tc>
          <w:tcPr>
            <w:tcW w:w="1418" w:type="dxa"/>
            <w:shd w:val="clear" w:color="auto" w:fill="auto"/>
            <w:vAlign w:val="center"/>
          </w:tcPr>
          <w:p w:rsidR="00675837" w:rsidRDefault="00675837" w:rsidP="00675837">
            <w:pPr>
              <w:jc w:val="center"/>
              <w:rPr>
                <w:rFonts w:ascii="Arial Narrow" w:eastAsia="Arial Narrow" w:hAnsi="Arial Narrow" w:cs="Arial Narrow"/>
                <w:b/>
                <w:sz w:val="18"/>
                <w:szCs w:val="18"/>
              </w:rPr>
            </w:pPr>
            <w:r>
              <w:rPr>
                <w:rFonts w:ascii="Arial Narrow" w:eastAsia="Arial Narrow" w:hAnsi="Arial Narrow" w:cs="Arial Narrow"/>
                <w:b/>
                <w:sz w:val="18"/>
                <w:szCs w:val="18"/>
              </w:rPr>
              <w:t>Docētājs</w:t>
            </w:r>
          </w:p>
        </w:tc>
        <w:tc>
          <w:tcPr>
            <w:tcW w:w="3543" w:type="dxa"/>
            <w:shd w:val="clear" w:color="auto" w:fill="auto"/>
            <w:vAlign w:val="center"/>
          </w:tcPr>
          <w:p w:rsidR="00675837" w:rsidRDefault="00675837" w:rsidP="00675837">
            <w:pPr>
              <w:jc w:val="center"/>
              <w:rPr>
                <w:rFonts w:ascii="Arial Narrow" w:eastAsia="Arial Narrow" w:hAnsi="Arial Narrow" w:cs="Arial Narrow"/>
                <w:b/>
                <w:sz w:val="18"/>
                <w:szCs w:val="18"/>
              </w:rPr>
            </w:pPr>
            <w:r>
              <w:rPr>
                <w:rFonts w:ascii="Arial Narrow" w:eastAsia="Arial Narrow" w:hAnsi="Arial Narrow" w:cs="Arial Narrow"/>
                <w:b/>
                <w:sz w:val="18"/>
                <w:szCs w:val="18"/>
              </w:rPr>
              <w:t>Temats</w:t>
            </w:r>
          </w:p>
        </w:tc>
        <w:tc>
          <w:tcPr>
            <w:tcW w:w="851" w:type="dxa"/>
            <w:shd w:val="clear" w:color="auto" w:fill="auto"/>
            <w:vAlign w:val="center"/>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Stundu skaits </w:t>
            </w:r>
            <w:r>
              <w:rPr>
                <w:rFonts w:ascii="Arial Narrow" w:eastAsia="Arial Narrow" w:hAnsi="Arial Narrow" w:cs="Arial Narrow"/>
                <w:sz w:val="18"/>
                <w:szCs w:val="18"/>
              </w:rPr>
              <w:t>(kontaktstundas)</w:t>
            </w:r>
          </w:p>
        </w:tc>
        <w:tc>
          <w:tcPr>
            <w:tcW w:w="3828" w:type="dxa"/>
            <w:shd w:val="clear" w:color="auto" w:fill="auto"/>
            <w:vAlign w:val="center"/>
          </w:tcPr>
          <w:p w:rsidR="00675837" w:rsidRDefault="00675837" w:rsidP="00675837">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Nodarbību veids/ studējošo patstāvīgā darba organizācijas un uzdevumu raksturojums </w:t>
            </w:r>
          </w:p>
          <w:p w:rsidR="00675837" w:rsidRDefault="00675837" w:rsidP="00675837">
            <w:pPr>
              <w:jc w:val="center"/>
              <w:rPr>
                <w:rFonts w:ascii="Arial Narrow" w:eastAsia="Arial Narrow" w:hAnsi="Arial Narrow" w:cs="Arial Narrow"/>
                <w:b/>
                <w:sz w:val="18"/>
                <w:szCs w:val="18"/>
                <w:highlight w:val="yellow"/>
              </w:rPr>
            </w:pPr>
          </w:p>
          <w:p w:rsidR="00675837" w:rsidRDefault="00675837" w:rsidP="00675837">
            <w:pPr>
              <w:jc w:val="center"/>
              <w:rPr>
                <w:rFonts w:ascii="Arial Narrow" w:eastAsia="Arial Narrow" w:hAnsi="Arial Narrow" w:cs="Arial Narrow"/>
                <w:b/>
                <w:sz w:val="18"/>
                <w:szCs w:val="18"/>
              </w:rPr>
            </w:pPr>
          </w:p>
        </w:tc>
      </w:tr>
      <w:tr w:rsidR="00675837" w:rsidTr="00675837">
        <w:trPr>
          <w:trHeight w:val="1440"/>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Līviņa A</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b/>
                <w:sz w:val="20"/>
                <w:szCs w:val="20"/>
              </w:rPr>
              <w:t>Ilgtermiņa plānošana</w:t>
            </w:r>
            <w:r>
              <w:rPr>
                <w:rFonts w:ascii="Arial Narrow" w:eastAsia="Arial Narrow" w:hAnsi="Arial Narrow" w:cs="Arial Narrow"/>
                <w:sz w:val="20"/>
                <w:szCs w:val="20"/>
              </w:rPr>
              <w:t xml:space="preserve"> un tās nozīme ekonomikā, uzņēmējdarbībā īpaši nenoteiktības apstākļos (Starptautisko organizāciju ziņojumu analīze un nozares politikas plānošanas dokumentu analīze ar akcentu nākotnes vajadzībām)</w:t>
            </w:r>
          </w:p>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Kā sasniegt ANO ilgtspējas mērķus </w:t>
            </w:r>
            <w:r>
              <w:rPr>
                <w:rFonts w:ascii="Arial Narrow" w:eastAsia="Arial Narrow" w:hAnsi="Arial Narrow" w:cs="Arial Narrow"/>
                <w:sz w:val="20"/>
                <w:szCs w:val="20"/>
              </w:rPr>
              <w:t>un to sasaiste ar citiem uzdevumiem</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30 (10)</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Semināri, praktiskais darbs saistībā ar ilgtermiņa plānošanas dokumentu analīzi promocijas darba tematā.</w:t>
            </w:r>
          </w:p>
        </w:tc>
      </w:tr>
      <w:tr w:rsidR="00675837" w:rsidTr="00675837">
        <w:trPr>
          <w:trHeight w:val="863"/>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trike/>
                <w:sz w:val="20"/>
                <w:szCs w:val="20"/>
              </w:rPr>
            </w:pPr>
            <w:bookmarkStart w:id="3" w:name="_GoBack"/>
            <w:bookmarkEnd w:id="3"/>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highlight w:val="yellow"/>
              </w:rPr>
            </w:pPr>
            <w:r>
              <w:rPr>
                <w:rFonts w:ascii="Arial Narrow" w:eastAsia="Arial Narrow" w:hAnsi="Arial Narrow" w:cs="Arial Narrow"/>
                <w:strike/>
                <w:sz w:val="20"/>
                <w:szCs w:val="20"/>
              </w:rPr>
              <w:t xml:space="preserve"> </w:t>
            </w:r>
            <w:r w:rsidRPr="00A45A42">
              <w:rPr>
                <w:rFonts w:ascii="Arial Narrow" w:eastAsia="Arial Narrow" w:hAnsi="Arial Narrow" w:cs="Arial Narrow"/>
                <w:sz w:val="20"/>
                <w:szCs w:val="20"/>
              </w:rPr>
              <w:t>Diana Toleubayevna Ismailova</w:t>
            </w:r>
            <w:r>
              <w:rPr>
                <w:rFonts w:ascii="Arial Narrow" w:eastAsia="Arial Narrow" w:hAnsi="Arial Narrow" w:cs="Arial Narrow"/>
                <w:strike/>
                <w:sz w:val="20"/>
                <w:szCs w:val="20"/>
              </w:rPr>
              <w:t xml:space="preserve"> </w:t>
            </w:r>
            <w:r w:rsidRPr="00A45A42">
              <w:rPr>
                <w:rFonts w:ascii="Arial Narrow" w:eastAsia="Arial Narrow" w:hAnsi="Arial Narrow" w:cs="Arial Narrow"/>
                <w:strike/>
                <w:sz w:val="20"/>
                <w:szCs w:val="20"/>
              </w:rPr>
              <w:t xml:space="preserve">, </w:t>
            </w:r>
            <w:r w:rsidRPr="00A45A42">
              <w:rPr>
                <w:rFonts w:ascii="Arial Narrow" w:eastAsia="Arial Narrow" w:hAnsi="Arial Narrow" w:cs="Arial Narrow"/>
                <w:sz w:val="20"/>
                <w:szCs w:val="20"/>
              </w:rPr>
              <w:t>Guest Lecturer, Kokshe university named after A.Myrzakhmetov , Kokshetau</w:t>
            </w:r>
            <w:r w:rsidRPr="00A45A42">
              <w:rPr>
                <w:rFonts w:ascii="Arial Narrow" w:eastAsia="Arial Narrow" w:hAnsi="Arial Narrow" w:cs="Arial Narrow"/>
                <w:strike/>
                <w:sz w:val="20"/>
                <w:szCs w:val="20"/>
              </w:rPr>
              <w:t xml:space="preserve"> </w:t>
            </w:r>
            <w:r>
              <w:rPr>
                <w:rFonts w:ascii="Arial Narrow" w:eastAsia="Arial Narrow" w:hAnsi="Arial Narrow" w:cs="Arial Narrow"/>
                <w:strike/>
                <w:sz w:val="20"/>
                <w:szCs w:val="20"/>
              </w:rPr>
              <w:t xml:space="preserve"> </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Globalizācijas procesi ekonomikā un uzņēmējdarbībā.  </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30 (10)</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Semināri, literatūras studijas, piemēru analīze</w:t>
            </w:r>
          </w:p>
        </w:tc>
      </w:tr>
      <w:tr w:rsidR="00675837" w:rsidTr="00675837">
        <w:trPr>
          <w:trHeight w:val="1040"/>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Šmitiņa A.</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rPr>
            </w:pPr>
            <w:r w:rsidRPr="00484729">
              <w:rPr>
                <w:rFonts w:ascii="Arial Narrow" w:eastAsia="Arial Narrow" w:hAnsi="Arial Narrow" w:cs="Arial Narrow"/>
                <w:b/>
                <w:sz w:val="20"/>
                <w:szCs w:val="20"/>
              </w:rPr>
              <w:t xml:space="preserve">Patērētāju uzvedība, </w:t>
            </w:r>
            <w:r w:rsidRPr="00484729">
              <w:rPr>
                <w:rFonts w:ascii="Arial Narrow" w:eastAsia="Arial Narrow" w:hAnsi="Arial Narrow" w:cs="Arial Narrow"/>
                <w:sz w:val="20"/>
                <w:szCs w:val="20"/>
              </w:rPr>
              <w:t>tās ietekmes ekonomikā, uzņēmējdarbībā. Patērētāju motivācija, pamatojums uzņēmējdarbībai no vajadzību izpētes prizmas. . Patērētāju uzvedība kā integrēta mārketinga sastāvdaļa. Sabiedrības vērtību paradigmas maiņa saistībā</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 xml:space="preserve">ar patērētāju uzvedību. </w:t>
            </w:r>
            <w:r>
              <w:rPr>
                <w:rFonts w:ascii="Arial Narrow" w:eastAsia="Arial Narrow" w:hAnsi="Arial Narrow" w:cs="Arial Narrow"/>
                <w:sz w:val="20"/>
                <w:szCs w:val="20"/>
              </w:rPr>
              <w:t>K</w:t>
            </w:r>
            <w:r w:rsidRPr="00484729">
              <w:rPr>
                <w:rFonts w:ascii="Arial Narrow" w:eastAsia="Arial Narrow" w:hAnsi="Arial Narrow" w:cs="Arial Narrow"/>
                <w:sz w:val="20"/>
                <w:szCs w:val="20"/>
              </w:rPr>
              <w:t>lientu attiecību pārvaldības kā biznesa stratēģijas pamatprincipi: klienta iegūšana, saglabāšana, atgūšana.   Klientu attiecību pārvaldības galvenie veidi- standarti, CRM sistēmas, CS sistēmas.</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Vides faktoru, sociālo apstākļu ietekme uz patērētāju uzvedību un</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 xml:space="preserve"> mārketinga stratēģija.</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24 (8)</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Semināri, literatūras studijas, piemēru analīze</w:t>
            </w:r>
          </w:p>
        </w:tc>
      </w:tr>
      <w:tr w:rsidR="00675837" w:rsidTr="00675837">
        <w:trPr>
          <w:trHeight w:val="1440"/>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Silkāne V.</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Pr="00484729" w:rsidRDefault="00675837" w:rsidP="00675837">
            <w:pPr>
              <w:jc w:val="both"/>
              <w:rPr>
                <w:rFonts w:ascii="Arial Narrow" w:eastAsia="Arial Narrow" w:hAnsi="Arial Narrow" w:cs="Arial Narrow"/>
                <w:sz w:val="20"/>
                <w:szCs w:val="20"/>
              </w:rPr>
            </w:pPr>
            <w:r w:rsidRPr="00484729">
              <w:rPr>
                <w:rFonts w:ascii="Arial Narrow" w:eastAsia="Arial Narrow" w:hAnsi="Arial Narrow" w:cs="Arial Narrow"/>
                <w:b/>
                <w:sz w:val="20"/>
                <w:szCs w:val="20"/>
              </w:rPr>
              <w:t xml:space="preserve">Uzvedības ekonomika. </w:t>
            </w:r>
            <w:r w:rsidRPr="00484729">
              <w:rPr>
                <w:rFonts w:ascii="Arial Narrow" w:eastAsia="Arial Narrow" w:hAnsi="Arial Narrow" w:cs="Arial Narrow"/>
                <w:sz w:val="20"/>
                <w:szCs w:val="20"/>
              </w:rPr>
              <w:t xml:space="preserve">Ierobežotā racionalitāte, Emocijas un lemšana, Taisnīgums, Laime un labklājība, Heiristikas un noslieces, Izvēles laikā, Spriešana un lemšana, Ierobežotā racionalitāte, Emocijas un lemšana, Taisnīgums, Laime un labklājība, Heiristikas un noslieces, Izvēles laikā, Spriešana un lemšana, , Pavirzīšana, Personība un ekonomiskās izvēles, Risks un nenoteiktība, Paškontrole, Sociālās izvēles, Sociālās normas. Šo un citu teorētisko konceptu izpēte un pielietošana šādās jomās:finanses un patēriņš (t.sk. pensijas, nodokļi), darbs un ekonomika (t.sk. darba tirgus)pārvalde un sabiedrība, rīcībpolitika, pašvaldības un pakalpojumi, izglītība un prasmes, </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 xml:space="preserve"> tiesības un kriminālistika,  drošība,</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 xml:space="preserve"> starptautiskā attīstība,</w:t>
            </w:r>
          </w:p>
          <w:p w:rsidR="00675837" w:rsidRPr="00484729" w:rsidRDefault="00675837" w:rsidP="00675837">
            <w:pPr>
              <w:jc w:val="both"/>
              <w:rPr>
                <w:rFonts w:ascii="Arial Narrow" w:eastAsia="Arial Narrow" w:hAnsi="Arial Narrow" w:cs="Arial Narrow"/>
                <w:sz w:val="20"/>
                <w:szCs w:val="20"/>
              </w:rPr>
            </w:pPr>
            <w:r w:rsidRPr="00484729">
              <w:rPr>
                <w:rFonts w:ascii="Arial Narrow" w:eastAsia="Arial Narrow" w:hAnsi="Arial Narrow" w:cs="Arial Narrow"/>
                <w:sz w:val="20"/>
                <w:szCs w:val="20"/>
              </w:rPr>
              <w:t xml:space="preserve"> enerģija, vides un ilgtspēja,  veselība un labklājība,</w:t>
            </w:r>
          </w:p>
          <w:p w:rsidR="00675837" w:rsidRDefault="00675837" w:rsidP="00675837">
            <w:pPr>
              <w:jc w:val="both"/>
              <w:rPr>
                <w:rFonts w:ascii="Arial Narrow" w:eastAsia="Arial Narrow" w:hAnsi="Arial Narrow" w:cs="Arial Narrow"/>
                <w:sz w:val="20"/>
                <w:szCs w:val="20"/>
              </w:rPr>
            </w:pPr>
            <w:r w:rsidRPr="00484729">
              <w:rPr>
                <w:rFonts w:ascii="Arial Narrow" w:eastAsia="Arial Narrow" w:hAnsi="Arial Narrow" w:cs="Arial Narrow"/>
                <w:sz w:val="20"/>
                <w:szCs w:val="20"/>
              </w:rPr>
              <w:t xml:space="preserve"> vienlīdzība un daudzveidība</w:t>
            </w:r>
            <w:r>
              <w:rPr>
                <w:rFonts w:ascii="Arial Narrow" w:eastAsia="Arial Narrow" w:hAnsi="Arial Narrow" w:cs="Arial Narrow"/>
                <w:sz w:val="20"/>
                <w:szCs w:val="20"/>
              </w:rPr>
              <w:t>.</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36 (12)</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semināri, problēmu risināšana, piemēru analīze, literatūras studijas</w:t>
            </w:r>
          </w:p>
        </w:tc>
      </w:tr>
      <w:tr w:rsidR="00675837" w:rsidTr="00675837">
        <w:trPr>
          <w:trHeight w:val="900"/>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Klepers A.</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b/>
                <w:sz w:val="20"/>
                <w:szCs w:val="20"/>
              </w:rPr>
              <w:t>Sabiedrības attīstības un tirgvedības tendences.  Ētika tirgvedībā. Pakalpojumu dizains.  I</w:t>
            </w:r>
            <w:r>
              <w:rPr>
                <w:rFonts w:ascii="Arial Narrow" w:eastAsia="Arial Narrow" w:hAnsi="Arial Narrow" w:cs="Arial Narrow"/>
                <w:sz w:val="20"/>
                <w:szCs w:val="20"/>
              </w:rPr>
              <w:t>ntegrētā mārketinga komunikācija, t.sk. digitālie risinājumi.</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30 (10)</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Semināri, lekcijas</w:t>
            </w:r>
          </w:p>
        </w:tc>
      </w:tr>
      <w:tr w:rsidR="00675837" w:rsidTr="00675837">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color w:val="000000"/>
                <w:sz w:val="20"/>
                <w:szCs w:val="20"/>
              </w:rPr>
            </w:pPr>
            <w:r>
              <w:rPr>
                <w:rFonts w:ascii="Arial Narrow" w:eastAsia="Arial Narrow" w:hAnsi="Arial Narrow" w:cs="Arial Narrow"/>
                <w:sz w:val="20"/>
                <w:szCs w:val="20"/>
              </w:rPr>
              <w:t>Leščevica M.</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b/>
                <w:sz w:val="20"/>
                <w:szCs w:val="20"/>
              </w:rPr>
              <w:t>Aprites un vides ekonomika</w:t>
            </w:r>
            <w:r>
              <w:rPr>
                <w:rFonts w:ascii="Arial Narrow" w:eastAsia="Arial Narrow" w:hAnsi="Arial Narrow" w:cs="Arial Narrow"/>
                <w:sz w:val="20"/>
                <w:szCs w:val="20"/>
              </w:rPr>
              <w:t>.</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Aprites Ekonomikas pamatprincipi. Ilgtspējīgas uzņēmējdarbības nosacījumi un nākotnes aspekti. Uzņēmējdarbības analīze - Value-added un Supply-chain analīze, citas nepieciešamās informācijas iegūšana. </w:t>
            </w:r>
            <w:r>
              <w:rPr>
                <w:rFonts w:ascii="Arial Narrow" w:eastAsia="Arial Narrow" w:hAnsi="Arial Narrow" w:cs="Arial Narrow"/>
                <w:sz w:val="20"/>
                <w:szCs w:val="20"/>
              </w:rPr>
              <w:lastRenderedPageBreak/>
              <w:t xml:space="preserve">Ilgtspējīgi risinājumi, to pieteikums un plānošana. </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Close to Zero-Waste attieksmes veicināšana. </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Vides un dabas resursu saglabāšana un viedā izmantošana. </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Pārējās saistītās tēmas – Dalītā ekonomika, Atbildīga patēriņa veicināšana, Bioekonomika, ekosistēmas, Labeling, zaļā izaugsme, vides ekonomika. </w:t>
            </w:r>
          </w:p>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Tirgus analīze un prognozēšana: </w:t>
            </w:r>
            <w:r>
              <w:rPr>
                <w:rFonts w:ascii="Arial Narrow" w:eastAsia="Arial Narrow" w:hAnsi="Arial Narrow" w:cs="Arial Narrow"/>
                <w:sz w:val="20"/>
                <w:szCs w:val="20"/>
              </w:rPr>
              <w:t xml:space="preserve">(UTAUT un citas metodes) </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36 (12)</w:t>
            </w: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jc w:val="center"/>
              <w:rPr>
                <w:rFonts w:ascii="Arial Narrow" w:eastAsia="Arial Narrow" w:hAnsi="Arial Narrow" w:cs="Arial Narrow"/>
                <w:sz w:val="18"/>
                <w:szCs w:val="18"/>
              </w:rPr>
            </w:pPr>
          </w:p>
          <w:p w:rsidR="00675837" w:rsidRDefault="00675837" w:rsidP="00675837">
            <w:pPr>
              <w:rPr>
                <w:rFonts w:ascii="Arial Narrow" w:eastAsia="Arial Narrow" w:hAnsi="Arial Narrow" w:cs="Arial Narrow"/>
                <w:sz w:val="18"/>
                <w:szCs w:val="18"/>
              </w:rPr>
            </w:pPr>
          </w:p>
          <w:p w:rsidR="00675837" w:rsidRDefault="00675837" w:rsidP="00675837">
            <w:pPr>
              <w:rPr>
                <w:rFonts w:ascii="Arial Narrow" w:eastAsia="Arial Narrow" w:hAnsi="Arial Narrow" w:cs="Arial Narrow"/>
                <w:sz w:val="18"/>
                <w:szCs w:val="18"/>
              </w:rPr>
            </w:pPr>
          </w:p>
          <w:p w:rsidR="00675837" w:rsidRDefault="00675837" w:rsidP="00675837">
            <w:pPr>
              <w:rPr>
                <w:rFonts w:ascii="Arial Narrow" w:eastAsia="Arial Narrow" w:hAnsi="Arial Narrow" w:cs="Arial Narrow"/>
                <w:sz w:val="18"/>
                <w:szCs w:val="18"/>
              </w:rPr>
            </w:pPr>
          </w:p>
          <w:p w:rsidR="00675837" w:rsidRDefault="00675837" w:rsidP="00675837">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28" w:type="dxa"/>
            <w:shd w:val="clear" w:color="auto" w:fill="auto"/>
          </w:tcPr>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Literatūras studijas, Piemēru analīze, Patstāvīgais darbs, mazo grupu darbi</w:t>
            </w:r>
          </w:p>
        </w:tc>
      </w:tr>
      <w:tr w:rsidR="00675837" w:rsidTr="00675837">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Libkovska U.</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b/>
                <w:sz w:val="20"/>
                <w:szCs w:val="20"/>
              </w:rPr>
              <w:t>Darba teorijas</w:t>
            </w:r>
            <w:r>
              <w:rPr>
                <w:rFonts w:ascii="Arial Narrow" w:eastAsia="Arial Narrow" w:hAnsi="Arial Narrow" w:cs="Arial Narrow"/>
                <w:sz w:val="20"/>
                <w:szCs w:val="20"/>
              </w:rPr>
              <w:t xml:space="preserve"> un </w:t>
            </w:r>
            <w:r>
              <w:rPr>
                <w:rFonts w:ascii="Arial Narrow" w:eastAsia="Arial Narrow" w:hAnsi="Arial Narrow" w:cs="Arial Narrow"/>
                <w:b/>
                <w:sz w:val="20"/>
                <w:szCs w:val="20"/>
              </w:rPr>
              <w:t>cilvēkresursu attīstības tendences</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30(10)</w:t>
            </w:r>
          </w:p>
        </w:tc>
        <w:tc>
          <w:tcPr>
            <w:tcW w:w="3828" w:type="dxa"/>
            <w:shd w:val="clear" w:color="auto" w:fill="auto"/>
          </w:tcPr>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sz w:val="20"/>
                <w:szCs w:val="20"/>
              </w:rPr>
              <w:t>Lekcijas, praktiskie darbi grupā</w:t>
            </w:r>
          </w:p>
        </w:tc>
      </w:tr>
      <w:tr w:rsidR="00675837" w:rsidTr="00675837">
        <w:trPr>
          <w:trHeight w:val="962"/>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Hiļķevičs S.</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Mūsdienu </w:t>
            </w:r>
            <w:r>
              <w:rPr>
                <w:rFonts w:ascii="Arial Narrow" w:eastAsia="Arial Narrow" w:hAnsi="Arial Narrow" w:cs="Arial Narrow"/>
                <w:b/>
                <w:sz w:val="20"/>
                <w:szCs w:val="20"/>
              </w:rPr>
              <w:t>uzņēmējdarbības vadības teoriju</w:t>
            </w:r>
            <w:r>
              <w:rPr>
                <w:rFonts w:ascii="Arial Narrow" w:eastAsia="Arial Narrow" w:hAnsi="Arial Narrow" w:cs="Arial Narrow"/>
                <w:sz w:val="20"/>
                <w:szCs w:val="20"/>
              </w:rPr>
              <w:t xml:space="preserve"> attīstības tendences.</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sz w:val="20"/>
                <w:szCs w:val="20"/>
              </w:rPr>
              <w:t xml:space="preserve">Mūsdienu tendences </w:t>
            </w:r>
            <w:r>
              <w:rPr>
                <w:rFonts w:ascii="Arial Narrow" w:eastAsia="Arial Narrow" w:hAnsi="Arial Narrow" w:cs="Arial Narrow"/>
                <w:b/>
                <w:sz w:val="20"/>
                <w:szCs w:val="20"/>
              </w:rPr>
              <w:t>investīciju teorijā</w:t>
            </w:r>
            <w:r>
              <w:rPr>
                <w:rFonts w:ascii="Arial Narrow" w:eastAsia="Arial Narrow" w:hAnsi="Arial Narrow" w:cs="Arial Narrow"/>
                <w:sz w:val="20"/>
                <w:szCs w:val="20"/>
              </w:rPr>
              <w:t xml:space="preserve"> un praksē.</w:t>
            </w:r>
          </w:p>
          <w:p w:rsidR="00675837" w:rsidRDefault="00675837" w:rsidP="00675837">
            <w:pPr>
              <w:rPr>
                <w:rFonts w:ascii="Arial Narrow" w:eastAsia="Arial Narrow" w:hAnsi="Arial Narrow" w:cs="Arial Narrow"/>
                <w:sz w:val="20"/>
                <w:szCs w:val="20"/>
              </w:rPr>
            </w:pPr>
            <w:r>
              <w:rPr>
                <w:rFonts w:ascii="Arial Narrow" w:eastAsia="Arial Narrow" w:hAnsi="Arial Narrow" w:cs="Arial Narrow"/>
                <w:b/>
                <w:sz w:val="20"/>
                <w:szCs w:val="20"/>
              </w:rPr>
              <w:t>Biznesa riski</w:t>
            </w:r>
            <w:r>
              <w:rPr>
                <w:rFonts w:ascii="Arial Narrow" w:eastAsia="Arial Narrow" w:hAnsi="Arial Narrow" w:cs="Arial Narrow"/>
                <w:sz w:val="20"/>
                <w:szCs w:val="20"/>
              </w:rPr>
              <w:t xml:space="preserve"> un to novēršana. Krīze.</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color w:val="FF0000"/>
                <w:sz w:val="18"/>
                <w:szCs w:val="18"/>
              </w:rPr>
            </w:pPr>
            <w:r>
              <w:rPr>
                <w:rFonts w:ascii="Arial Narrow" w:eastAsia="Arial Narrow" w:hAnsi="Arial Narrow" w:cs="Arial Narrow"/>
                <w:sz w:val="18"/>
                <w:szCs w:val="18"/>
              </w:rPr>
              <w:t>36(12)</w:t>
            </w:r>
          </w:p>
        </w:tc>
        <w:tc>
          <w:tcPr>
            <w:tcW w:w="3828" w:type="dxa"/>
            <w:shd w:val="clear" w:color="auto" w:fill="auto"/>
          </w:tcPr>
          <w:p w:rsidR="00675837" w:rsidRDefault="00675837" w:rsidP="00675837">
            <w:pPr>
              <w:jc w:val="both"/>
              <w:rPr>
                <w:rFonts w:ascii="Arial Narrow" w:eastAsia="Arial Narrow" w:hAnsi="Arial Narrow" w:cs="Arial Narrow"/>
                <w:sz w:val="20"/>
                <w:szCs w:val="20"/>
              </w:rPr>
            </w:pPr>
            <w:r>
              <w:rPr>
                <w:rFonts w:ascii="Arial Narrow" w:eastAsia="Arial Narrow" w:hAnsi="Arial Narrow" w:cs="Arial Narrow"/>
                <w:sz w:val="18"/>
                <w:szCs w:val="18"/>
              </w:rPr>
              <w:t>Lekcijas, individuālie darbi, diskusijas</w:t>
            </w:r>
          </w:p>
        </w:tc>
      </w:tr>
      <w:tr w:rsidR="00675837" w:rsidTr="00675837">
        <w:trPr>
          <w:trHeight w:val="1094"/>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color w:val="000000"/>
                <w:sz w:val="20"/>
                <w:szCs w:val="20"/>
              </w:rPr>
            </w:pPr>
            <w:r>
              <w:rPr>
                <w:rFonts w:ascii="Arial Narrow" w:eastAsia="Arial Narrow" w:hAnsi="Arial Narrow" w:cs="Arial Narrow"/>
                <w:sz w:val="20"/>
                <w:szCs w:val="20"/>
              </w:rPr>
              <w:t>Rozentāle S.</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rPr>
            </w:pPr>
            <w:bookmarkStart w:id="4" w:name="_heading=h.3znysh7" w:colFirst="0" w:colLast="0"/>
            <w:bookmarkEnd w:id="4"/>
            <w:r>
              <w:rPr>
                <w:rFonts w:ascii="Arial Narrow" w:eastAsia="Arial Narrow" w:hAnsi="Arial Narrow" w:cs="Arial Narrow"/>
                <w:sz w:val="20"/>
                <w:szCs w:val="20"/>
              </w:rPr>
              <w:t>Kursa ievadtēma: ekonomikas zinātnes tendences.</w:t>
            </w:r>
          </w:p>
          <w:p w:rsidR="00675837" w:rsidRDefault="00675837" w:rsidP="00675837">
            <w:pPr>
              <w:jc w:val="both"/>
              <w:rPr>
                <w:sz w:val="20"/>
                <w:szCs w:val="20"/>
              </w:rPr>
            </w:pPr>
            <w:r w:rsidRPr="00126B8D">
              <w:rPr>
                <w:rFonts w:ascii="Arial Narrow" w:eastAsia="Arial Narrow" w:hAnsi="Arial Narrow" w:cs="Arial Narrow"/>
                <w:sz w:val="20"/>
                <w:szCs w:val="20"/>
              </w:rPr>
              <w:t xml:space="preserve">Uzņēmumu ekonomikas un vadības lēmumu pieņemšana un problēmu risināšana saistībā ar </w:t>
            </w:r>
            <w:r w:rsidRPr="00484729">
              <w:rPr>
                <w:rFonts w:ascii="Arial Narrow" w:eastAsia="Arial Narrow" w:hAnsi="Arial Narrow" w:cs="Arial Narrow"/>
                <w:b/>
                <w:sz w:val="20"/>
                <w:szCs w:val="20"/>
              </w:rPr>
              <w:t>investīcijām, risku un finansēšanu</w:t>
            </w:r>
            <w:r w:rsidRPr="00126B8D">
              <w:rPr>
                <w:rFonts w:ascii="Arial Narrow" w:eastAsia="Arial Narrow" w:hAnsi="Arial Narrow" w:cs="Arial Narrow"/>
                <w:sz w:val="20"/>
                <w:szCs w:val="20"/>
              </w:rPr>
              <w:t>. Ilgtspējas principu pielietojums (ESG)</w:t>
            </w:r>
            <w:r>
              <w:rPr>
                <w:rFonts w:ascii="Arial Narrow" w:eastAsia="Arial Narrow" w:hAnsi="Arial Narrow" w:cs="Arial Narrow"/>
                <w:sz w:val="20"/>
                <w:szCs w:val="20"/>
              </w:rPr>
              <w:t>.</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36 (12)</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Lekcijas, individuālie darbi, diskusijas</w:t>
            </w:r>
          </w:p>
        </w:tc>
      </w:tr>
      <w:tr w:rsidR="00675837" w:rsidTr="00675837">
        <w:trPr>
          <w:trHeight w:val="1411"/>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trike/>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strike/>
                <w:sz w:val="20"/>
                <w:szCs w:val="20"/>
              </w:rPr>
            </w:pPr>
          </w:p>
          <w:p w:rsidR="00675837" w:rsidRDefault="00675837" w:rsidP="00675837">
            <w:pPr>
              <w:rPr>
                <w:rFonts w:ascii="Arial Narrow" w:eastAsia="Arial Narrow" w:hAnsi="Arial Narrow" w:cs="Arial Narrow"/>
                <w:sz w:val="20"/>
                <w:szCs w:val="20"/>
                <w:highlight w:val="yellow"/>
              </w:rPr>
            </w:pPr>
            <w:r w:rsidRPr="00A45A42">
              <w:rPr>
                <w:rFonts w:ascii="Arial Narrow" w:eastAsia="Arial Narrow" w:hAnsi="Arial Narrow" w:cs="Arial Narrow"/>
                <w:sz w:val="20"/>
                <w:szCs w:val="20"/>
              </w:rPr>
              <w:t xml:space="preserve">Krēsliņš K. -  </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highlight w:val="yellow"/>
              </w:rPr>
            </w:pPr>
            <w:r w:rsidRPr="00484729">
              <w:rPr>
                <w:rFonts w:ascii="Arial Narrow" w:eastAsia="Arial Narrow" w:hAnsi="Arial Narrow" w:cs="Arial Narrow"/>
                <w:b/>
                <w:sz w:val="20"/>
                <w:szCs w:val="20"/>
              </w:rPr>
              <w:t xml:space="preserve">Jaunuzņēmumu veidošanās tendences, </w:t>
            </w:r>
            <w:r w:rsidRPr="00484729">
              <w:rPr>
                <w:rFonts w:ascii="Arial Narrow" w:eastAsia="Arial Narrow" w:hAnsi="Arial Narrow" w:cs="Arial Narrow"/>
                <w:sz w:val="20"/>
                <w:szCs w:val="20"/>
              </w:rPr>
              <w:t>to dzīvotspējas ietekmējošie faktori: definīcijas, problemātiskums, teorētiskais pamatojums un pētījumi, ideju ģenerēšana un testēšana, ideju validēšana un atgriezeniskā saikne no potenciāliem</w:t>
            </w:r>
            <w:r>
              <w:rPr>
                <w:rFonts w:ascii="Arial Narrow" w:eastAsia="Arial Narrow" w:hAnsi="Arial Narrow" w:cs="Arial Narrow"/>
                <w:sz w:val="20"/>
                <w:szCs w:val="20"/>
              </w:rPr>
              <w:t xml:space="preserve"> </w:t>
            </w:r>
            <w:r w:rsidRPr="00484729">
              <w:rPr>
                <w:rFonts w:ascii="Arial Narrow" w:eastAsia="Arial Narrow" w:hAnsi="Arial Narrow" w:cs="Arial Narrow"/>
                <w:sz w:val="20"/>
                <w:szCs w:val="20"/>
              </w:rPr>
              <w:t>klientiem, konkrēta biznesa modeļa izveides nepieciešamība jaunuzņēmumam. Ilgspējīga attīstība un inovācijas - veiksmīga jaunuzņēmuma biznesa modeļa kodols. Konkrēti piemēri - situāciju analīzes (case studies).</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30 (10)</w:t>
            </w:r>
          </w:p>
        </w:tc>
        <w:tc>
          <w:tcPr>
            <w:tcW w:w="3828" w:type="dxa"/>
            <w:shd w:val="clear" w:color="auto" w:fill="auto"/>
          </w:tcPr>
          <w:p w:rsidR="00675837" w:rsidRDefault="00675837" w:rsidP="00675837">
            <w:pPr>
              <w:jc w:val="both"/>
              <w:rPr>
                <w:rFonts w:ascii="Arial Narrow" w:eastAsia="Arial Narrow" w:hAnsi="Arial Narrow" w:cs="Arial Narrow"/>
                <w:sz w:val="18"/>
                <w:szCs w:val="18"/>
              </w:rPr>
            </w:pPr>
            <w:r>
              <w:rPr>
                <w:rFonts w:ascii="Arial Narrow" w:eastAsia="Arial Narrow" w:hAnsi="Arial Narrow" w:cs="Arial Narrow"/>
                <w:sz w:val="18"/>
                <w:szCs w:val="18"/>
              </w:rPr>
              <w:t>Lekcija, seminārs</w:t>
            </w:r>
          </w:p>
        </w:tc>
      </w:tr>
      <w:tr w:rsidR="00675837" w:rsidTr="00675837">
        <w:trPr>
          <w:trHeight w:val="320"/>
        </w:trPr>
        <w:tc>
          <w:tcPr>
            <w:tcW w:w="851" w:type="dxa"/>
            <w:tcBorders>
              <w:top w:val="dotted" w:sz="4" w:space="0" w:color="000000"/>
              <w:left w:val="dotted" w:sz="4" w:space="0" w:color="000000"/>
              <w:bottom w:val="dotted" w:sz="4" w:space="0" w:color="000000"/>
              <w:right w:val="dotted" w:sz="4" w:space="0" w:color="000000"/>
            </w:tcBorders>
          </w:tcPr>
          <w:p w:rsidR="00675837" w:rsidRDefault="00675837" w:rsidP="00675837">
            <w:pPr>
              <w:rPr>
                <w:rFonts w:ascii="Arial Narrow" w:eastAsia="Arial Narrow" w:hAnsi="Arial Narrow" w:cs="Arial Narrow"/>
                <w:sz w:val="20"/>
                <w:szCs w:val="20"/>
              </w:rPr>
            </w:pPr>
          </w:p>
        </w:tc>
        <w:tc>
          <w:tcPr>
            <w:tcW w:w="1418"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rPr>
                <w:rFonts w:ascii="Arial Narrow" w:eastAsia="Arial Narrow" w:hAnsi="Arial Narrow" w:cs="Arial Narrow"/>
                <w:color w:val="000000"/>
                <w:sz w:val="20"/>
                <w:szCs w:val="20"/>
              </w:rPr>
            </w:pPr>
            <w:r>
              <w:rPr>
                <w:rFonts w:ascii="Arial Narrow" w:eastAsia="Arial Narrow" w:hAnsi="Arial Narrow" w:cs="Arial Narrow"/>
                <w:sz w:val="20"/>
                <w:szCs w:val="20"/>
              </w:rPr>
              <w:t>Osis K.</w:t>
            </w:r>
          </w:p>
        </w:tc>
        <w:tc>
          <w:tcPr>
            <w:tcW w:w="3543"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both"/>
              <w:rPr>
                <w:rFonts w:ascii="Arial Narrow" w:eastAsia="Arial Narrow" w:hAnsi="Arial Narrow" w:cs="Arial Narrow"/>
                <w:sz w:val="20"/>
                <w:szCs w:val="20"/>
                <w:shd w:val="clear" w:color="auto" w:fill="FF9900"/>
              </w:rPr>
            </w:pPr>
            <w:r w:rsidRPr="00484729">
              <w:rPr>
                <w:rFonts w:ascii="Arial Narrow" w:eastAsia="Arial Narrow" w:hAnsi="Arial Narrow" w:cs="Arial Narrow"/>
                <w:b/>
                <w:sz w:val="20"/>
                <w:szCs w:val="20"/>
              </w:rPr>
              <w:t xml:space="preserve">Informācijas tehnoloģijas vadības lēmumu pieņemšanā. </w:t>
            </w:r>
            <w:r w:rsidRPr="00484729">
              <w:rPr>
                <w:rFonts w:ascii="Arial Narrow" w:eastAsia="Arial Narrow" w:hAnsi="Arial Narrow" w:cs="Arial Narrow"/>
                <w:sz w:val="20"/>
                <w:szCs w:val="20"/>
              </w:rPr>
              <w:t>Datu ieguve, risinājumi, algoritmu izmantošana uzņēmējdarbības datu apstrādei, vizualizācijai, analīzei un vadības lēmumu pieņemšanā.</w:t>
            </w:r>
          </w:p>
        </w:tc>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675837" w:rsidRDefault="00675837" w:rsidP="00675837">
            <w:pPr>
              <w:jc w:val="center"/>
              <w:rPr>
                <w:rFonts w:ascii="Arial Narrow" w:eastAsia="Arial Narrow" w:hAnsi="Arial Narrow" w:cs="Arial Narrow"/>
                <w:sz w:val="18"/>
                <w:szCs w:val="18"/>
              </w:rPr>
            </w:pPr>
            <w:r>
              <w:rPr>
                <w:rFonts w:ascii="Arial Narrow" w:eastAsia="Arial Narrow" w:hAnsi="Arial Narrow" w:cs="Arial Narrow"/>
                <w:sz w:val="18"/>
                <w:szCs w:val="18"/>
              </w:rPr>
              <w:t>42 (14)</w:t>
            </w:r>
          </w:p>
        </w:tc>
        <w:tc>
          <w:tcPr>
            <w:tcW w:w="3828" w:type="dxa"/>
            <w:shd w:val="clear" w:color="auto" w:fill="auto"/>
          </w:tcPr>
          <w:p w:rsidR="00675837" w:rsidRDefault="00675837" w:rsidP="00675837">
            <w:pPr>
              <w:jc w:val="both"/>
              <w:rPr>
                <w:rFonts w:ascii="Arial Narrow" w:eastAsia="Arial Narrow" w:hAnsi="Arial Narrow" w:cs="Arial Narrow"/>
              </w:rPr>
            </w:pPr>
            <w:r>
              <w:rPr>
                <w:rFonts w:ascii="Arial Narrow" w:eastAsia="Arial Narrow" w:hAnsi="Arial Narrow" w:cs="Arial Narrow"/>
                <w:sz w:val="20"/>
                <w:szCs w:val="20"/>
              </w:rPr>
              <w:t>Lekcijas, praktiskie darbi grupā</w:t>
            </w:r>
          </w:p>
        </w:tc>
      </w:tr>
    </w:tbl>
    <w:p w:rsidR="00AD04B0" w:rsidRDefault="00AD04B0">
      <w:pPr>
        <w:pBdr>
          <w:top w:val="nil"/>
          <w:left w:val="nil"/>
          <w:bottom w:val="nil"/>
          <w:right w:val="nil"/>
          <w:between w:val="nil"/>
        </w:pBdr>
        <w:jc w:val="both"/>
        <w:rPr>
          <w:rFonts w:ascii="Arial Narrow" w:eastAsia="Arial Narrow" w:hAnsi="Arial Narrow" w:cs="Arial Narrow"/>
          <w:b/>
          <w:color w:val="000000"/>
          <w:sz w:val="22"/>
          <w:szCs w:val="22"/>
        </w:rPr>
      </w:pPr>
    </w:p>
    <w:p w:rsidR="00AD04B0" w:rsidRDefault="00137865">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Studiju kursa saturs un kalendārais plāns:</w:t>
      </w:r>
    </w:p>
    <w:p w:rsidR="00AD04B0" w:rsidRDefault="00AD04B0">
      <w:pPr>
        <w:ind w:left="-284"/>
        <w:rPr>
          <w:rFonts w:ascii="Arial Narrow" w:eastAsia="Arial Narrow" w:hAnsi="Arial Narrow" w:cs="Arial Narrow"/>
          <w:sz w:val="18"/>
          <w:szCs w:val="18"/>
        </w:rPr>
      </w:pPr>
    </w:p>
    <w:p w:rsidR="00AD04B0" w:rsidRDefault="00AD04B0">
      <w:pPr>
        <w:ind w:left="-284"/>
        <w:rPr>
          <w:rFonts w:ascii="Arial Narrow" w:eastAsia="Arial Narrow" w:hAnsi="Arial Narrow" w:cs="Arial Narrow"/>
        </w:rPr>
      </w:pPr>
    </w:p>
    <w:p w:rsidR="00AD04B0" w:rsidRDefault="00137865">
      <w:pPr>
        <w:jc w:val="both"/>
        <w:rPr>
          <w:rFonts w:ascii="Arial Narrow" w:eastAsia="Arial Narrow" w:hAnsi="Arial Narrow" w:cs="Arial Narrow"/>
          <w:b/>
          <w:sz w:val="20"/>
          <w:szCs w:val="20"/>
        </w:rPr>
      </w:pPr>
      <w:r>
        <w:rPr>
          <w:rFonts w:ascii="Arial Narrow" w:eastAsia="Arial Narrow" w:hAnsi="Arial Narrow" w:cs="Arial Narrow"/>
          <w:b/>
          <w:sz w:val="20"/>
          <w:szCs w:val="20"/>
        </w:rPr>
        <w:t>Studējošo patstāvīgais darbs:</w:t>
      </w:r>
    </w:p>
    <w:p w:rsidR="00AD04B0" w:rsidRDefault="00137865">
      <w:pPr>
        <w:pBdr>
          <w:top w:val="single" w:sz="4" w:space="1" w:color="000000"/>
          <w:left w:val="single" w:sz="4" w:space="4" w:color="000000"/>
          <w:bottom w:val="single" w:sz="4" w:space="1" w:color="000000"/>
          <w:right w:val="single" w:sz="4" w:space="4" w:color="000000"/>
        </w:pBdr>
        <w:ind w:left="-284"/>
        <w:rPr>
          <w:rFonts w:ascii="Arial Narrow" w:eastAsia="Arial Narrow" w:hAnsi="Arial Narrow" w:cs="Arial Narrow"/>
          <w:sz w:val="22"/>
          <w:szCs w:val="22"/>
        </w:rPr>
      </w:pPr>
      <w:r>
        <w:rPr>
          <w:rFonts w:ascii="Arial Narrow" w:eastAsia="Arial Narrow" w:hAnsi="Arial Narrow" w:cs="Arial Narrow"/>
          <w:sz w:val="22"/>
          <w:szCs w:val="22"/>
        </w:rPr>
        <w:t>Ietver regulāru darbu ar literatūru, informācijas avotiem, studiju kursa materiāliem, lai sekmīgi varētu strādāt kontaktnodarbībās un sagatavotu nodevumus, kuri norādīti pie prasībām kredītpunktu ieguvei.</w:t>
      </w:r>
    </w:p>
    <w:p w:rsidR="00AD04B0" w:rsidRDefault="00137865">
      <w:pPr>
        <w:pBdr>
          <w:top w:val="single" w:sz="4" w:space="1" w:color="000000"/>
          <w:left w:val="single" w:sz="4" w:space="4" w:color="000000"/>
          <w:bottom w:val="single" w:sz="4" w:space="1" w:color="000000"/>
          <w:right w:val="single" w:sz="4" w:space="4" w:color="000000"/>
        </w:pBdr>
        <w:ind w:left="-284"/>
        <w:rPr>
          <w:rFonts w:ascii="Arial Narrow" w:eastAsia="Arial Narrow" w:hAnsi="Arial Narrow" w:cs="Arial Narrow"/>
          <w:sz w:val="22"/>
          <w:szCs w:val="22"/>
        </w:rPr>
      </w:pPr>
      <w:r>
        <w:rPr>
          <w:rFonts w:ascii="Arial Narrow" w:eastAsia="Arial Narrow" w:hAnsi="Arial Narrow" w:cs="Arial Narrow"/>
          <w:sz w:val="22"/>
          <w:szCs w:val="22"/>
        </w:rPr>
        <w:t>Citas patstāvīgā darba formas ietver gadījumu izpēti, praktiskā uzdevuma sagatavošanu, kas saistīts ar nodevumu izpildi.</w:t>
      </w:r>
    </w:p>
    <w:p w:rsidR="00AD04B0" w:rsidRDefault="00137865">
      <w:pPr>
        <w:pBdr>
          <w:top w:val="single" w:sz="4" w:space="1" w:color="000000"/>
          <w:left w:val="single" w:sz="4" w:space="4" w:color="000000"/>
          <w:bottom w:val="single" w:sz="4" w:space="1" w:color="000000"/>
          <w:right w:val="single" w:sz="4" w:space="4" w:color="000000"/>
        </w:pBdr>
        <w:ind w:left="-284"/>
        <w:rPr>
          <w:rFonts w:ascii="Arial Narrow" w:eastAsia="Arial Narrow" w:hAnsi="Arial Narrow" w:cs="Arial Narrow"/>
          <w:sz w:val="22"/>
          <w:szCs w:val="22"/>
        </w:rPr>
      </w:pPr>
      <w:r>
        <w:rPr>
          <w:rFonts w:ascii="Arial Narrow" w:eastAsia="Arial Narrow" w:hAnsi="Arial Narrow" w:cs="Arial Narrow"/>
          <w:sz w:val="22"/>
          <w:szCs w:val="22"/>
        </w:rPr>
        <w:t>Gatavošanās darbs studiju kursa eksāmenam.</w:t>
      </w:r>
    </w:p>
    <w:sectPr w:rsidR="00AD04B0">
      <w:headerReference w:type="default" r:id="rId7"/>
      <w:footerReference w:type="default" r:id="rId8"/>
      <w:pgSz w:w="11906" w:h="16838"/>
      <w:pgMar w:top="993" w:right="1134" w:bottom="709" w:left="1701" w:header="10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E0" w:rsidRDefault="006E7FE0">
      <w:r>
        <w:separator/>
      </w:r>
    </w:p>
  </w:endnote>
  <w:endnote w:type="continuationSeparator" w:id="0">
    <w:p w:rsidR="006E7FE0" w:rsidRDefault="006E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0" w:rsidRDefault="0013786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675837">
      <w:rPr>
        <w:noProof/>
        <w:color w:val="000000"/>
      </w:rPr>
      <w:t>6</w:t>
    </w:r>
    <w:r>
      <w:rPr>
        <w:color w:val="000000"/>
      </w:rPr>
      <w:fldChar w:fldCharType="end"/>
    </w:r>
  </w:p>
  <w:p w:rsidR="00AD04B0" w:rsidRDefault="00AD04B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E0" w:rsidRDefault="006E7FE0">
      <w:r>
        <w:separator/>
      </w:r>
    </w:p>
  </w:footnote>
  <w:footnote w:type="continuationSeparator" w:id="0">
    <w:p w:rsidR="006E7FE0" w:rsidRDefault="006E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0" w:rsidRDefault="00137865">
    <w:pPr>
      <w:pBdr>
        <w:top w:val="nil"/>
        <w:left w:val="nil"/>
        <w:bottom w:val="nil"/>
        <w:right w:val="nil"/>
        <w:between w:val="nil"/>
      </w:pBdr>
      <w:tabs>
        <w:tab w:val="center" w:pos="4153"/>
        <w:tab w:val="right" w:pos="8306"/>
      </w:tabs>
      <w:rPr>
        <w:color w:val="000000"/>
      </w:rPr>
    </w:pPr>
    <w:r>
      <w:rPr>
        <w:noProof/>
        <w:lang w:val="en-GB"/>
      </w:rPr>
      <w:drawing>
        <wp:anchor distT="0" distB="0" distL="0" distR="0" simplePos="0" relativeHeight="251658240" behindDoc="0" locked="0" layoutInCell="1" hidden="0" allowOverlap="1">
          <wp:simplePos x="0" y="0"/>
          <wp:positionH relativeFrom="column">
            <wp:posOffset>4596765</wp:posOffset>
          </wp:positionH>
          <wp:positionV relativeFrom="paragraph">
            <wp:posOffset>-507994</wp:posOffset>
          </wp:positionV>
          <wp:extent cx="1054100" cy="1054100"/>
          <wp:effectExtent l="0" t="0" r="0" b="0"/>
          <wp:wrapSquare wrapText="bothSides" distT="0" distB="0" distL="0" distR="0"/>
          <wp:docPr id="3" name="image1.jpg" descr="ViA_Logo_vert_color_v1"/>
          <wp:cNvGraphicFramePr/>
          <a:graphic xmlns:a="http://schemas.openxmlformats.org/drawingml/2006/main">
            <a:graphicData uri="http://schemas.openxmlformats.org/drawingml/2006/picture">
              <pic:pic xmlns:pic="http://schemas.openxmlformats.org/drawingml/2006/picture">
                <pic:nvPicPr>
                  <pic:cNvPr id="0" name="image1.jpg" descr="ViA_Logo_vert_color_v1"/>
                  <pic:cNvPicPr preferRelativeResize="0"/>
                </pic:nvPicPr>
                <pic:blipFill>
                  <a:blip r:embed="rId1"/>
                  <a:srcRect/>
                  <a:stretch>
                    <a:fillRect/>
                  </a:stretch>
                </pic:blipFill>
                <pic:spPr>
                  <a:xfrm>
                    <a:off x="0" y="0"/>
                    <a:ext cx="1054100" cy="1054100"/>
                  </a:xfrm>
                  <a:prstGeom prst="rect">
                    <a:avLst/>
                  </a:prstGeom>
                  <a:ln/>
                </pic:spPr>
              </pic:pic>
            </a:graphicData>
          </a:graphic>
        </wp:anchor>
      </w:drawing>
    </w:r>
  </w:p>
  <w:p w:rsidR="00AD04B0" w:rsidRDefault="00AD04B0">
    <w:pPr>
      <w:pBdr>
        <w:top w:val="nil"/>
        <w:left w:val="nil"/>
        <w:bottom w:val="nil"/>
        <w:right w:val="nil"/>
        <w:between w:val="nil"/>
      </w:pBdr>
      <w:tabs>
        <w:tab w:val="center" w:pos="4153"/>
        <w:tab w:val="right" w:pos="8306"/>
      </w:tabs>
      <w:rPr>
        <w:color w:val="000000"/>
      </w:rPr>
    </w:pPr>
  </w:p>
  <w:p w:rsidR="00AD04B0" w:rsidRDefault="00AD04B0">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0"/>
    <w:rsid w:val="001040A3"/>
    <w:rsid w:val="00126B8D"/>
    <w:rsid w:val="00137865"/>
    <w:rsid w:val="003625B8"/>
    <w:rsid w:val="00427C27"/>
    <w:rsid w:val="0045454F"/>
    <w:rsid w:val="004616D4"/>
    <w:rsid w:val="00462FE9"/>
    <w:rsid w:val="00484729"/>
    <w:rsid w:val="004E2C43"/>
    <w:rsid w:val="0050087D"/>
    <w:rsid w:val="00560F19"/>
    <w:rsid w:val="00675837"/>
    <w:rsid w:val="006E7FE0"/>
    <w:rsid w:val="007C0743"/>
    <w:rsid w:val="00877904"/>
    <w:rsid w:val="00915ED2"/>
    <w:rsid w:val="009B4301"/>
    <w:rsid w:val="00A45A42"/>
    <w:rsid w:val="00AD04B0"/>
    <w:rsid w:val="00B74074"/>
    <w:rsid w:val="00C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0D77"/>
  <w15:docId w15:val="{AFE03ECF-B59B-4B10-9DFF-01D07942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jc w:val="center"/>
      <w:outlineLvl w:val="0"/>
    </w:pPr>
    <w:rPr>
      <w:b/>
      <w:smallCaps/>
    </w:rPr>
  </w:style>
  <w:style w:type="paragraph" w:styleId="Heading2">
    <w:name w:val="heading 2"/>
    <w:basedOn w:val="Normal"/>
    <w:next w:val="Normal"/>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ind w:left="576" w:hanging="576"/>
      <w:jc w:val="both"/>
      <w:outlineLvl w:val="3"/>
    </w:pPr>
    <w:rPr>
      <w:u w:val="single"/>
    </w:rPr>
  </w:style>
  <w:style w:type="paragraph" w:styleId="Heading5">
    <w:name w:val="heading 5"/>
    <w:basedOn w:val="Normal"/>
    <w:next w:val="Normal"/>
    <w:pPr>
      <w:ind w:left="1008" w:hanging="1008"/>
      <w:outlineLvl w:val="4"/>
    </w:pPr>
    <w:rPr>
      <w:i/>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7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94"/>
    <w:rPr>
      <w:rFonts w:ascii="Segoe UI" w:hAnsi="Segoe UI" w:cs="Segoe UI"/>
      <w:sz w:val="18"/>
      <w:szCs w:val="18"/>
    </w:rPr>
  </w:style>
  <w:style w:type="paragraph" w:styleId="NoSpacing">
    <w:name w:val="No Spacing"/>
    <w:uiPriority w:val="1"/>
    <w:qFormat/>
    <w:rsid w:val="00287494"/>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A5641"/>
    <w:pPr>
      <w:tabs>
        <w:tab w:val="center" w:pos="4153"/>
        <w:tab w:val="right" w:pos="8306"/>
      </w:tabs>
    </w:pPr>
  </w:style>
  <w:style w:type="character" w:customStyle="1" w:styleId="HeaderChar">
    <w:name w:val="Header Char"/>
    <w:basedOn w:val="DefaultParagraphFont"/>
    <w:link w:val="Header"/>
    <w:uiPriority w:val="99"/>
    <w:rsid w:val="00FA5641"/>
  </w:style>
  <w:style w:type="paragraph" w:styleId="Footer">
    <w:name w:val="footer"/>
    <w:basedOn w:val="Normal"/>
    <w:link w:val="FooterChar"/>
    <w:uiPriority w:val="99"/>
    <w:unhideWhenUsed/>
    <w:rsid w:val="00FA5641"/>
    <w:pPr>
      <w:tabs>
        <w:tab w:val="center" w:pos="4153"/>
        <w:tab w:val="right" w:pos="8306"/>
      </w:tabs>
    </w:pPr>
  </w:style>
  <w:style w:type="character" w:customStyle="1" w:styleId="FooterChar">
    <w:name w:val="Footer Char"/>
    <w:basedOn w:val="DefaultParagraphFont"/>
    <w:link w:val="Footer"/>
    <w:uiPriority w:val="99"/>
    <w:rsid w:val="00FA5641"/>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xHwbzb0evXqiBnbA1t8aT/ZbQ==">AMUW2mV8M3J7pzViL04L7Jjw23su0xux/XaEtMEBrs/uokxTDhRfx7foTc7l3iagv4tCmjZQipDw8XHpvvLVCOj4fnNes+/3uBoX3NC20RASPKlZZ0C9qMOa6u2xoUseDYHclw2a91/MbrJVo6JzzJVawjvlyNi65AgFk1ezaOBtDDEDKe1TJjTzaUlaPUJf2pfmojbGgUrWKN2D0XcJxcv8zmjhSmT7hw==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ViA</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Livina</dc:creator>
  <cp:lastModifiedBy>Sarmite Rozentale</cp:lastModifiedBy>
  <cp:revision>5</cp:revision>
  <dcterms:created xsi:type="dcterms:W3CDTF">2021-02-03T12:19:00Z</dcterms:created>
  <dcterms:modified xsi:type="dcterms:W3CDTF">2022-01-24T09:42:00Z</dcterms:modified>
</cp:coreProperties>
</file>